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0F" w:rsidRDefault="00364EA7">
      <w:pPr>
        <w:spacing w:after="0" w:line="240" w:lineRule="auto"/>
        <w:rPr>
          <w:rFonts w:ascii="Times New Roman" w:hAnsi="Times New Roman" w:cs="Times New Roman"/>
          <w:b/>
          <w:bCs/>
          <w:sz w:val="36"/>
          <w:szCs w:val="24"/>
        </w:rPr>
      </w:pPr>
      <w:r>
        <w:rPr>
          <w:rFonts w:ascii="Times New Roman" w:hAnsi="Times New Roman" w:cs="Times New Roman"/>
          <w:b/>
          <w:bCs/>
          <w:sz w:val="36"/>
          <w:szCs w:val="24"/>
        </w:rPr>
        <w:t xml:space="preserve">Expectativas sobre la educación en estudiantes de secundaria de un colegio estatal en San Juan de Lurigancho </w:t>
      </w:r>
    </w:p>
    <w:p w:rsidR="00BB1A0F" w:rsidRDefault="00364EA7">
      <w:pPr>
        <w:spacing w:after="0" w:line="240" w:lineRule="auto"/>
        <w:rPr>
          <w:rFonts w:ascii="Times New Roman" w:hAnsi="Times New Roman" w:cs="Times New Roman"/>
          <w:i/>
          <w:iCs/>
          <w:sz w:val="36"/>
          <w:szCs w:val="24"/>
          <w:lang w:val="en-US"/>
        </w:rPr>
      </w:pPr>
      <w:r>
        <w:rPr>
          <w:rFonts w:ascii="Times New Roman" w:hAnsi="Times New Roman" w:cs="Times New Roman"/>
          <w:i/>
          <w:iCs/>
          <w:sz w:val="36"/>
          <w:szCs w:val="24"/>
          <w:lang w:val="en-US"/>
        </w:rPr>
        <w:t xml:space="preserve">Expectations about education in high school students from a state school in San Juan de </w:t>
      </w:r>
      <w:proofErr w:type="spellStart"/>
      <w:r>
        <w:rPr>
          <w:rFonts w:ascii="Times New Roman" w:hAnsi="Times New Roman" w:cs="Times New Roman"/>
          <w:i/>
          <w:iCs/>
          <w:sz w:val="36"/>
          <w:szCs w:val="24"/>
          <w:lang w:val="en-US"/>
        </w:rPr>
        <w:t>Lurigancho</w:t>
      </w:r>
      <w:proofErr w:type="spellEnd"/>
    </w:p>
    <w:p w:rsidR="00BB1A0F" w:rsidRDefault="00364EA7">
      <w:pPr>
        <w:spacing w:after="0" w:line="240" w:lineRule="auto"/>
        <w:jc w:val="right"/>
        <w:rPr>
          <w:rFonts w:ascii="Times New Roman" w:eastAsia="Times New Roman" w:hAnsi="Times New Roman" w:cs="Times New Roman"/>
          <w:b/>
          <w:sz w:val="24"/>
          <w:szCs w:val="24"/>
          <w:lang w:val="es-ES"/>
        </w:rPr>
      </w:pPr>
      <w:r>
        <w:rPr>
          <w:rFonts w:ascii="Times New Roman" w:eastAsia="Times New Roman" w:hAnsi="Times New Roman" w:cs="Times New Roman"/>
          <w:b/>
          <w:sz w:val="24"/>
          <w:szCs w:val="24"/>
        </w:rPr>
        <w:t xml:space="preserve">Rómulo </w:t>
      </w:r>
      <w:proofErr w:type="spellStart"/>
      <w:r>
        <w:rPr>
          <w:rFonts w:ascii="Times New Roman" w:eastAsia="Times New Roman" w:hAnsi="Times New Roman" w:cs="Times New Roman"/>
          <w:b/>
          <w:sz w:val="24"/>
          <w:szCs w:val="24"/>
        </w:rPr>
        <w:t>Cresenciano</w:t>
      </w:r>
      <w:proofErr w:type="spellEnd"/>
      <w:r>
        <w:rPr>
          <w:rFonts w:ascii="Times New Roman" w:eastAsia="Times New Roman" w:hAnsi="Times New Roman" w:cs="Times New Roman"/>
          <w:b/>
          <w:sz w:val="24"/>
          <w:szCs w:val="24"/>
        </w:rPr>
        <w:t xml:space="preserve"> Romero Centeno</w:t>
      </w:r>
    </w:p>
    <w:p w:rsidR="00BB1A0F" w:rsidRDefault="00364EA7">
      <w:pPr>
        <w:spacing w:after="0" w:line="240" w:lineRule="auto"/>
        <w:jc w:val="right"/>
        <w:rPr>
          <w:rFonts w:ascii="Times New Roman" w:eastAsia="Times New Roman" w:hAnsi="Times New Roman" w:cs="Times New Roman"/>
          <w:sz w:val="24"/>
          <w:szCs w:val="24"/>
        </w:rPr>
      </w:pPr>
      <w:hyperlink r:id="rId9" w:tooltip="https://orcid.org/0000-0001-9883-0237" w:history="1">
        <w:r>
          <w:rPr>
            <w:rStyle w:val="Hyperlink"/>
            <w:rFonts w:ascii="Times New Roman" w:eastAsia="Times New Roman" w:hAnsi="Times New Roman" w:cs="Times New Roman"/>
            <w:sz w:val="24"/>
            <w:szCs w:val="24"/>
          </w:rPr>
          <w:t>https://orcid.org/0000-0001-9883-0237</w:t>
        </w:r>
      </w:hyperlink>
    </w:p>
    <w:p w:rsidR="00BB1A0F" w:rsidRDefault="00364EA7">
      <w:pPr>
        <w:spacing w:after="0" w:line="240" w:lineRule="auto"/>
        <w:jc w:val="right"/>
        <w:rPr>
          <w:rFonts w:ascii="Times New Roman" w:eastAsia="Times New Roman" w:hAnsi="Times New Roman" w:cs="Times New Roman"/>
          <w:sz w:val="24"/>
          <w:szCs w:val="24"/>
        </w:rPr>
      </w:pPr>
      <w:hyperlink r:id="rId10" w:tooltip="mailto:rromero@uni.edu.pe" w:history="1">
        <w:r>
          <w:rPr>
            <w:rStyle w:val="Hyperlink"/>
            <w:rFonts w:ascii="Times New Roman" w:eastAsia="Times New Roman" w:hAnsi="Times New Roman" w:cs="Times New Roman"/>
            <w:sz w:val="24"/>
            <w:szCs w:val="24"/>
          </w:rPr>
          <w:t>rromero@uni.edu.pe</w:t>
        </w:r>
      </w:hyperlink>
    </w:p>
    <w:p w:rsidR="00BB1A0F" w:rsidRDefault="00364EA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Universidad Nacional de Ingenie</w:t>
      </w:r>
      <w:r>
        <w:rPr>
          <w:rFonts w:ascii="Times New Roman" w:eastAsia="Times New Roman" w:hAnsi="Times New Roman" w:cs="Times New Roman"/>
          <w:sz w:val="24"/>
          <w:szCs w:val="24"/>
        </w:rPr>
        <w:t>ría. Lima – Perú.</w:t>
      </w:r>
    </w:p>
    <w:p w:rsidR="00BB1A0F" w:rsidRDefault="00BB1A0F">
      <w:pPr>
        <w:spacing w:after="0" w:line="240" w:lineRule="auto"/>
        <w:jc w:val="right"/>
        <w:rPr>
          <w:rFonts w:ascii="Times New Roman" w:eastAsia="Times New Roman" w:hAnsi="Times New Roman" w:cs="Times New Roman"/>
          <w:b/>
          <w:sz w:val="24"/>
          <w:szCs w:val="24"/>
        </w:rPr>
      </w:pPr>
    </w:p>
    <w:p w:rsidR="00BB1A0F" w:rsidRDefault="00364EA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Rommel </w:t>
      </w:r>
      <w:proofErr w:type="spellStart"/>
      <w:r>
        <w:rPr>
          <w:rFonts w:ascii="Times New Roman" w:eastAsia="Times New Roman" w:hAnsi="Times New Roman" w:cs="Times New Roman"/>
          <w:b/>
          <w:sz w:val="24"/>
          <w:szCs w:val="24"/>
        </w:rPr>
        <w:t>Esnaider</w:t>
      </w:r>
      <w:proofErr w:type="spellEnd"/>
      <w:r>
        <w:rPr>
          <w:rFonts w:ascii="Times New Roman" w:eastAsia="Times New Roman" w:hAnsi="Times New Roman" w:cs="Times New Roman"/>
          <w:b/>
          <w:sz w:val="24"/>
          <w:szCs w:val="24"/>
        </w:rPr>
        <w:t xml:space="preserve"> Romero Alva</w:t>
      </w:r>
    </w:p>
    <w:p w:rsidR="00BB1A0F" w:rsidRDefault="00364EA7">
      <w:pPr>
        <w:spacing w:after="0" w:line="240" w:lineRule="auto"/>
        <w:jc w:val="right"/>
        <w:rPr>
          <w:rFonts w:ascii="Times New Roman" w:eastAsia="Times New Roman" w:hAnsi="Times New Roman" w:cs="Times New Roman"/>
          <w:sz w:val="24"/>
          <w:szCs w:val="24"/>
        </w:rPr>
      </w:pPr>
      <w:hyperlink r:id="rId11" w:tooltip="https://orcid.org/0009-0006-1340-7581" w:history="1">
        <w:r>
          <w:rPr>
            <w:rStyle w:val="Hyperlink"/>
            <w:rFonts w:ascii="Times New Roman" w:eastAsia="Times New Roman" w:hAnsi="Times New Roman" w:cs="Times New Roman"/>
            <w:sz w:val="24"/>
            <w:szCs w:val="24"/>
          </w:rPr>
          <w:t>https://orcid.org/0009-0006-1340-7581</w:t>
        </w:r>
      </w:hyperlink>
    </w:p>
    <w:p w:rsidR="00BB1A0F" w:rsidRDefault="00364EA7">
      <w:pPr>
        <w:spacing w:after="0" w:line="240" w:lineRule="auto"/>
        <w:jc w:val="right"/>
        <w:rPr>
          <w:rFonts w:ascii="Times New Roman" w:eastAsia="Times New Roman" w:hAnsi="Times New Roman" w:cs="Times New Roman"/>
          <w:sz w:val="24"/>
          <w:szCs w:val="24"/>
        </w:rPr>
      </w:pPr>
      <w:hyperlink r:id="rId12" w:tooltip="mailto:rommel.romero.a@uni.edu.pe" w:history="1">
        <w:r>
          <w:rPr>
            <w:rStyle w:val="Hyperlink"/>
            <w:rFonts w:ascii="Times New Roman" w:eastAsia="Times New Roman" w:hAnsi="Times New Roman" w:cs="Times New Roman"/>
            <w:sz w:val="24"/>
            <w:szCs w:val="24"/>
          </w:rPr>
          <w:t>rommel.romero.a@uni.edu.pe</w:t>
        </w:r>
      </w:hyperlink>
    </w:p>
    <w:p w:rsidR="00BB1A0F" w:rsidRDefault="00364EA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Universidad Nacional de Ingeniería. Lima – Perú.</w:t>
      </w:r>
    </w:p>
    <w:p w:rsidR="00BB1A0F" w:rsidRDefault="00BB1A0F">
      <w:pPr>
        <w:spacing w:after="0" w:line="240" w:lineRule="auto"/>
        <w:jc w:val="right"/>
        <w:rPr>
          <w:rFonts w:ascii="Times New Roman" w:eastAsia="Times New Roman" w:hAnsi="Times New Roman" w:cs="Times New Roman"/>
          <w:b/>
          <w:sz w:val="24"/>
          <w:szCs w:val="24"/>
        </w:rPr>
      </w:pPr>
    </w:p>
    <w:p w:rsidR="00BB1A0F" w:rsidRDefault="00364EA7">
      <w:pPr>
        <w:spacing w:after="0" w:line="240" w:lineRule="auto"/>
        <w:jc w:val="right"/>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Ríder</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Oustin</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Irnak</w:t>
      </w:r>
      <w:proofErr w:type="spellEnd"/>
      <w:r>
        <w:rPr>
          <w:rFonts w:ascii="Times New Roman" w:eastAsia="Times New Roman" w:hAnsi="Times New Roman" w:cs="Times New Roman"/>
          <w:b/>
          <w:sz w:val="24"/>
          <w:szCs w:val="24"/>
        </w:rPr>
        <w:t xml:space="preserve"> Romero Alva</w:t>
      </w:r>
    </w:p>
    <w:p w:rsidR="00BB1A0F" w:rsidRDefault="00364EA7">
      <w:pPr>
        <w:spacing w:after="0" w:line="240" w:lineRule="auto"/>
        <w:jc w:val="right"/>
        <w:rPr>
          <w:rFonts w:ascii="Times New Roman" w:eastAsia="Times New Roman" w:hAnsi="Times New Roman" w:cs="Times New Roman"/>
          <w:sz w:val="24"/>
          <w:szCs w:val="24"/>
        </w:rPr>
      </w:pPr>
      <w:hyperlink r:id="rId13" w:tooltip="https://orcid.org/0009-0002-4438-9145" w:history="1">
        <w:r>
          <w:rPr>
            <w:rStyle w:val="Hyperlink"/>
            <w:rFonts w:ascii="Times New Roman" w:eastAsia="Times New Roman" w:hAnsi="Times New Roman" w:cs="Times New Roman"/>
            <w:sz w:val="24"/>
            <w:szCs w:val="24"/>
          </w:rPr>
          <w:t>https://orcid.org/0009-0002-4438-9145</w:t>
        </w:r>
      </w:hyperlink>
      <w:r>
        <w:rPr>
          <w:rFonts w:ascii="Times New Roman" w:eastAsia="Times New Roman" w:hAnsi="Times New Roman" w:cs="Times New Roman"/>
          <w:sz w:val="24"/>
          <w:szCs w:val="24"/>
        </w:rPr>
        <w:t xml:space="preserve"> </w:t>
      </w:r>
    </w:p>
    <w:p w:rsidR="00BB1A0F" w:rsidRDefault="00364EA7">
      <w:pPr>
        <w:spacing w:after="0" w:line="240" w:lineRule="auto"/>
        <w:jc w:val="right"/>
        <w:rPr>
          <w:rFonts w:ascii="Times New Roman" w:eastAsia="Times New Roman" w:hAnsi="Times New Roman" w:cs="Times New Roman"/>
          <w:sz w:val="24"/>
          <w:szCs w:val="24"/>
        </w:rPr>
      </w:pPr>
      <w:hyperlink r:id="rId14" w:tooltip="mailto:rider.romero@unmsm.edu.pe" w:history="1">
        <w:r>
          <w:rPr>
            <w:rStyle w:val="Hyperlink"/>
            <w:rFonts w:ascii="Times New Roman" w:eastAsia="Times New Roman" w:hAnsi="Times New Roman" w:cs="Times New Roman"/>
            <w:sz w:val="24"/>
            <w:szCs w:val="24"/>
          </w:rPr>
          <w:t>rider.romero@unmsm.edu.pe</w:t>
        </w:r>
      </w:hyperlink>
    </w:p>
    <w:p w:rsidR="00BB1A0F" w:rsidRDefault="00364EA7">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Universidad Nacional Mayor de San Marcos. Lima – Perú.</w:t>
      </w:r>
    </w:p>
    <w:p w:rsidR="00BB1A0F" w:rsidRDefault="00BB1A0F">
      <w:pPr>
        <w:spacing w:after="0" w:line="240" w:lineRule="auto"/>
        <w:rPr>
          <w:rFonts w:ascii="Times New Roman" w:hAnsi="Times New Roman" w:cs="Times New Roman"/>
          <w:b/>
          <w:szCs w:val="20"/>
          <w:lang w:val="es-ES"/>
        </w:rPr>
      </w:pPr>
    </w:p>
    <w:p w:rsidR="00BB1A0F" w:rsidRDefault="00364EA7">
      <w:pPr>
        <w:spacing w:after="0" w:line="240" w:lineRule="auto"/>
        <w:rPr>
          <w:rFonts w:ascii="Times New Roman" w:hAnsi="Times New Roman" w:cs="Times New Roman"/>
          <w:b/>
          <w:szCs w:val="20"/>
          <w:lang w:val="es-ES"/>
        </w:rPr>
      </w:pPr>
      <w:r>
        <w:rPr>
          <w:rFonts w:ascii="Times New Roman" w:hAnsi="Times New Roman" w:cs="Times New Roman"/>
          <w:b/>
          <w:szCs w:val="20"/>
          <w:lang w:val="es-ES"/>
        </w:rPr>
        <w:t>RESUMEN</w:t>
      </w:r>
    </w:p>
    <w:p w:rsidR="00BB1A0F" w:rsidRDefault="00364EA7">
      <w:pPr>
        <w:spacing w:after="0" w:line="240" w:lineRule="auto"/>
        <w:jc w:val="both"/>
        <w:rPr>
          <w:rFonts w:ascii="Times New Roman" w:hAnsi="Times New Roman" w:cs="Times New Roman"/>
          <w:sz w:val="20"/>
        </w:rPr>
      </w:pPr>
      <w:r>
        <w:rPr>
          <w:rFonts w:ascii="Times New Roman" w:hAnsi="Times New Roman" w:cs="Times New Roman"/>
          <w:sz w:val="20"/>
        </w:rPr>
        <w:t xml:space="preserve">La educación </w:t>
      </w:r>
      <w:r>
        <w:rPr>
          <w:rStyle w:val="Strong"/>
          <w:rFonts w:ascii="Times New Roman" w:hAnsi="Times New Roman" w:cs="Times New Roman"/>
          <w:b w:val="0"/>
          <w:sz w:val="20"/>
        </w:rPr>
        <w:t>ofrece</w:t>
      </w:r>
      <w:r>
        <w:rPr>
          <w:rFonts w:ascii="Times New Roman" w:hAnsi="Times New Roman" w:cs="Times New Roman"/>
          <w:sz w:val="20"/>
        </w:rPr>
        <w:t xml:space="preserve"> posibilidades </w:t>
      </w:r>
      <w:r>
        <w:rPr>
          <w:rStyle w:val="Strong"/>
          <w:rFonts w:ascii="Times New Roman" w:hAnsi="Times New Roman" w:cs="Times New Roman"/>
          <w:b w:val="0"/>
          <w:sz w:val="20"/>
        </w:rPr>
        <w:t>para</w:t>
      </w:r>
      <w:r>
        <w:rPr>
          <w:rFonts w:ascii="Times New Roman" w:hAnsi="Times New Roman" w:cs="Times New Roman"/>
          <w:sz w:val="20"/>
        </w:rPr>
        <w:t xml:space="preserve"> u</w:t>
      </w:r>
      <w:r>
        <w:rPr>
          <w:rFonts w:ascii="Times New Roman" w:hAnsi="Times New Roman" w:cs="Times New Roman"/>
          <w:sz w:val="20"/>
        </w:rPr>
        <w:t xml:space="preserve">na vida mejor en el ser humano. Sin embargo, en el contexto peruano, diversos factores impiden esa visión. </w:t>
      </w:r>
      <w:r>
        <w:rPr>
          <w:rStyle w:val="Strong"/>
          <w:rFonts w:ascii="Times New Roman" w:hAnsi="Times New Roman" w:cs="Times New Roman"/>
          <w:b w:val="0"/>
          <w:sz w:val="20"/>
        </w:rPr>
        <w:t>En este sentido</w:t>
      </w:r>
      <w:r>
        <w:rPr>
          <w:rFonts w:ascii="Times New Roman" w:hAnsi="Times New Roman" w:cs="Times New Roman"/>
          <w:sz w:val="20"/>
        </w:rPr>
        <w:t xml:space="preserve">, la sociedad, especialmente las clases marginales, pierde el interés en el estudio </w:t>
      </w:r>
      <w:r>
        <w:rPr>
          <w:rStyle w:val="Strong"/>
          <w:rFonts w:ascii="Times New Roman" w:hAnsi="Times New Roman" w:cs="Times New Roman"/>
          <w:b w:val="0"/>
          <w:sz w:val="20"/>
        </w:rPr>
        <w:t>porque</w:t>
      </w:r>
      <w:r>
        <w:rPr>
          <w:rFonts w:ascii="Times New Roman" w:hAnsi="Times New Roman" w:cs="Times New Roman"/>
          <w:sz w:val="20"/>
        </w:rPr>
        <w:t xml:space="preserve"> no obtienen beneficios </w:t>
      </w:r>
      <w:r>
        <w:rPr>
          <w:rStyle w:val="Strong"/>
          <w:rFonts w:ascii="Times New Roman" w:hAnsi="Times New Roman" w:cs="Times New Roman"/>
          <w:b w:val="0"/>
          <w:sz w:val="20"/>
        </w:rPr>
        <w:t>de</w:t>
      </w:r>
      <w:r>
        <w:rPr>
          <w:rFonts w:ascii="Times New Roman" w:hAnsi="Times New Roman" w:cs="Times New Roman"/>
          <w:sz w:val="20"/>
        </w:rPr>
        <w:t xml:space="preserve"> la educación, </w:t>
      </w:r>
      <w:r>
        <w:rPr>
          <w:rStyle w:val="Strong"/>
          <w:rFonts w:ascii="Times New Roman" w:hAnsi="Times New Roman" w:cs="Times New Roman"/>
          <w:b w:val="0"/>
          <w:sz w:val="20"/>
        </w:rPr>
        <w:t>por</w:t>
      </w:r>
      <w:r>
        <w:rPr>
          <w:rStyle w:val="Strong"/>
          <w:rFonts w:ascii="Times New Roman" w:hAnsi="Times New Roman" w:cs="Times New Roman"/>
          <w:b w:val="0"/>
          <w:sz w:val="20"/>
        </w:rPr>
        <w:t xml:space="preserve"> lo que</w:t>
      </w:r>
      <w:r>
        <w:rPr>
          <w:rFonts w:ascii="Times New Roman" w:hAnsi="Times New Roman" w:cs="Times New Roman"/>
          <w:sz w:val="20"/>
        </w:rPr>
        <w:t xml:space="preserve"> no estudian con responsabilidad, sino por formalismo. </w:t>
      </w:r>
      <w:r>
        <w:rPr>
          <w:rStyle w:val="Strong"/>
          <w:rFonts w:ascii="Times New Roman" w:hAnsi="Times New Roman" w:cs="Times New Roman"/>
          <w:b w:val="0"/>
          <w:sz w:val="20"/>
        </w:rPr>
        <w:t>La presente</w:t>
      </w:r>
      <w:r>
        <w:rPr>
          <w:rFonts w:ascii="Times New Roman" w:hAnsi="Times New Roman" w:cs="Times New Roman"/>
          <w:sz w:val="20"/>
        </w:rPr>
        <w:t xml:space="preserve"> investigación </w:t>
      </w:r>
      <w:r>
        <w:rPr>
          <w:rStyle w:val="Strong"/>
          <w:rFonts w:ascii="Times New Roman" w:hAnsi="Times New Roman" w:cs="Times New Roman"/>
          <w:b w:val="0"/>
          <w:sz w:val="20"/>
        </w:rPr>
        <w:t>tiene</w:t>
      </w:r>
      <w:r>
        <w:rPr>
          <w:rFonts w:ascii="Times New Roman" w:hAnsi="Times New Roman" w:cs="Times New Roman"/>
          <w:b/>
          <w:sz w:val="20"/>
        </w:rPr>
        <w:t xml:space="preserve"> </w:t>
      </w:r>
      <w:r>
        <w:rPr>
          <w:rFonts w:ascii="Times New Roman" w:hAnsi="Times New Roman" w:cs="Times New Roman"/>
          <w:sz w:val="20"/>
        </w:rPr>
        <w:t>como objetivo describir las perspectivas sobre la instrucción de estudiantes de secundaria de un colegio estatal del distrito de San Juan de Lurigancho, Lima, Per</w:t>
      </w:r>
      <w:r>
        <w:rPr>
          <w:rFonts w:ascii="Times New Roman" w:hAnsi="Times New Roman" w:cs="Times New Roman"/>
          <w:sz w:val="20"/>
        </w:rPr>
        <w:t xml:space="preserve">ú. Es un estudio cuantitativo, descriptivo, que recoge los pensamientos expresados </w:t>
      </w:r>
      <w:r>
        <w:rPr>
          <w:rStyle w:val="Strong"/>
          <w:rFonts w:ascii="Times New Roman" w:hAnsi="Times New Roman" w:cs="Times New Roman"/>
          <w:b w:val="0"/>
          <w:sz w:val="20"/>
        </w:rPr>
        <w:t>por</w:t>
      </w:r>
      <w:r>
        <w:rPr>
          <w:rFonts w:ascii="Times New Roman" w:hAnsi="Times New Roman" w:cs="Times New Roman"/>
          <w:sz w:val="20"/>
        </w:rPr>
        <w:t xml:space="preserve"> 474 estudiantes regulares y asistentes a clases. El estudio de las fichas ratifica que la educación brindada en las aulas, a pesar de la cantidad de desaprobados, </w:t>
      </w:r>
      <w:r>
        <w:rPr>
          <w:rStyle w:val="Strong"/>
          <w:rFonts w:ascii="Times New Roman" w:hAnsi="Times New Roman" w:cs="Times New Roman"/>
          <w:sz w:val="20"/>
        </w:rPr>
        <w:t>y</w:t>
      </w:r>
      <w:r>
        <w:rPr>
          <w:rFonts w:ascii="Times New Roman" w:hAnsi="Times New Roman" w:cs="Times New Roman"/>
          <w:sz w:val="20"/>
        </w:rPr>
        <w:t xml:space="preserve"> el p</w:t>
      </w:r>
      <w:r>
        <w:rPr>
          <w:rFonts w:ascii="Times New Roman" w:hAnsi="Times New Roman" w:cs="Times New Roman"/>
          <w:sz w:val="20"/>
        </w:rPr>
        <w:t xml:space="preserve">oco interés que demuestran los estudiantes en desarrollar las competencias de cada curso, </w:t>
      </w:r>
      <w:r>
        <w:rPr>
          <w:rStyle w:val="Strong"/>
          <w:rFonts w:ascii="Times New Roman" w:hAnsi="Times New Roman" w:cs="Times New Roman"/>
          <w:b w:val="0"/>
          <w:sz w:val="20"/>
        </w:rPr>
        <w:t>junto con</w:t>
      </w:r>
      <w:r>
        <w:rPr>
          <w:rFonts w:ascii="Times New Roman" w:hAnsi="Times New Roman" w:cs="Times New Roman"/>
          <w:sz w:val="20"/>
        </w:rPr>
        <w:t xml:space="preserve"> las múltiples facilidades brindadas por el Estado para pasar de grado, sigue siendo importante, según la respuesta de los estudiantes, para el futuro académ</w:t>
      </w:r>
      <w:r>
        <w:rPr>
          <w:rFonts w:ascii="Times New Roman" w:hAnsi="Times New Roman" w:cs="Times New Roman"/>
          <w:sz w:val="20"/>
        </w:rPr>
        <w:t>ico. Se concluye que la expectativa en la educación sigue siendo relevante para los estudiantes de una institución pública en la búsqueda de un futuro promisorio.</w:t>
      </w:r>
    </w:p>
    <w:p w:rsidR="00BB1A0F" w:rsidRDefault="00BB1A0F">
      <w:pPr>
        <w:spacing w:after="0" w:line="240" w:lineRule="auto"/>
        <w:jc w:val="both"/>
        <w:rPr>
          <w:rFonts w:ascii="Times New Roman" w:hAnsi="Times New Roman" w:cs="Times New Roman"/>
          <w:sz w:val="18"/>
          <w:szCs w:val="20"/>
          <w:lang w:val="es-ES"/>
        </w:rPr>
      </w:pPr>
    </w:p>
    <w:p w:rsidR="00BB1A0F" w:rsidRDefault="00364EA7">
      <w:pPr>
        <w:pStyle w:val="NoSpacing"/>
        <w:jc w:val="both"/>
        <w:rPr>
          <w:rFonts w:ascii="Times New Roman" w:hAnsi="Times New Roman" w:cs="Times New Roman"/>
          <w:sz w:val="20"/>
          <w:szCs w:val="20"/>
          <w:lang w:val="es-ES"/>
        </w:rPr>
      </w:pPr>
      <w:r>
        <w:rPr>
          <w:rFonts w:ascii="Times New Roman" w:hAnsi="Times New Roman" w:cs="Times New Roman"/>
          <w:b/>
          <w:sz w:val="20"/>
          <w:szCs w:val="20"/>
          <w:lang w:val="es-EC"/>
        </w:rPr>
        <w:t>Palabras claves:</w:t>
      </w:r>
      <w:r>
        <w:rPr>
          <w:rFonts w:ascii="Times New Roman" w:hAnsi="Times New Roman" w:cs="Times New Roman"/>
          <w:sz w:val="20"/>
          <w:szCs w:val="20"/>
          <w:lang w:val="es-EC"/>
        </w:rPr>
        <w:t xml:space="preserve"> expectativas educativas, nivel secundario, promoción escolar</w:t>
      </w:r>
    </w:p>
    <w:p w:rsidR="00BB1A0F" w:rsidRDefault="00BB1A0F">
      <w:pPr>
        <w:pStyle w:val="NoSpacing"/>
        <w:jc w:val="both"/>
        <w:rPr>
          <w:rFonts w:ascii="Times New Roman" w:hAnsi="Times New Roman" w:cs="Times New Roman"/>
          <w:b/>
          <w:szCs w:val="20"/>
          <w:lang w:val="es-ES"/>
        </w:rPr>
      </w:pPr>
    </w:p>
    <w:p w:rsidR="00BB1A0F" w:rsidRDefault="00364EA7">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Recibido</w:t>
      </w:r>
      <w:proofErr w:type="spellEnd"/>
      <w:r>
        <w:rPr>
          <w:rFonts w:ascii="Times New Roman" w:hAnsi="Times New Roman" w:cs="Times New Roman"/>
          <w:sz w:val="20"/>
          <w:szCs w:val="20"/>
          <w:lang w:val="en-US"/>
        </w:rPr>
        <w:t>:</w:t>
      </w:r>
      <w:r>
        <w:rPr>
          <w:rFonts w:ascii="Times New Roman" w:hAnsi="Times New Roman" w:cs="Times New Roman"/>
          <w:sz w:val="20"/>
          <w:szCs w:val="20"/>
          <w:lang w:val="en-US"/>
        </w:rPr>
        <w:t xml:space="preserve"> 28-09-24 - </w:t>
      </w:r>
      <w:proofErr w:type="spellStart"/>
      <w:r>
        <w:rPr>
          <w:rFonts w:ascii="Times New Roman" w:hAnsi="Times New Roman" w:cs="Times New Roman"/>
          <w:sz w:val="20"/>
          <w:szCs w:val="20"/>
          <w:lang w:val="en-US"/>
        </w:rPr>
        <w:t>Aceptado</w:t>
      </w:r>
      <w:proofErr w:type="spellEnd"/>
      <w:r>
        <w:rPr>
          <w:rFonts w:ascii="Times New Roman" w:hAnsi="Times New Roman" w:cs="Times New Roman"/>
          <w:sz w:val="20"/>
          <w:szCs w:val="20"/>
          <w:lang w:val="en-US"/>
        </w:rPr>
        <w:t>: 23-12-24</w:t>
      </w:r>
    </w:p>
    <w:p w:rsidR="00BB1A0F" w:rsidRDefault="00BB1A0F">
      <w:pPr>
        <w:spacing w:after="0" w:line="240" w:lineRule="auto"/>
        <w:rPr>
          <w:rFonts w:ascii="Times New Roman" w:hAnsi="Times New Roman" w:cs="Times New Roman"/>
          <w:sz w:val="20"/>
          <w:szCs w:val="20"/>
          <w:lang w:val="en-US"/>
        </w:rPr>
      </w:pPr>
    </w:p>
    <w:p w:rsidR="00BB1A0F" w:rsidRDefault="00364EA7">
      <w:pPr>
        <w:spacing w:after="0" w:line="240" w:lineRule="auto"/>
        <w:rPr>
          <w:rFonts w:ascii="Times New Roman" w:hAnsi="Times New Roman" w:cs="Times New Roman"/>
          <w:b/>
          <w:szCs w:val="20"/>
          <w:lang w:val="en-US"/>
        </w:rPr>
      </w:pPr>
      <w:r>
        <w:rPr>
          <w:rFonts w:ascii="Times New Roman" w:hAnsi="Times New Roman" w:cs="Times New Roman"/>
          <w:b/>
          <w:szCs w:val="20"/>
          <w:lang w:val="en-US"/>
        </w:rPr>
        <w:t>ABSTRACT</w:t>
      </w:r>
    </w:p>
    <w:p w:rsidR="00BB1A0F" w:rsidRDefault="00364EA7">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Education offers possibilities for a better life for human beings. However, in the Peruvian context, several factors impede this vision. In this sense, society, especially the marginal classes, loses interest in stu</w:t>
      </w:r>
      <w:r>
        <w:rPr>
          <w:rFonts w:ascii="Times New Roman" w:hAnsi="Times New Roman" w:cs="Times New Roman"/>
          <w:sz w:val="20"/>
          <w:szCs w:val="20"/>
          <w:lang w:val="en-US"/>
        </w:rPr>
        <w:t xml:space="preserve">dying because they do not benefit from education, so they do not study responsibly, but for formality. The present research aims to describe the perspectives on instruction of high school students from a state school in the district of San Juan de </w:t>
      </w:r>
      <w:proofErr w:type="spellStart"/>
      <w:r>
        <w:rPr>
          <w:rFonts w:ascii="Times New Roman" w:hAnsi="Times New Roman" w:cs="Times New Roman"/>
          <w:sz w:val="20"/>
          <w:szCs w:val="20"/>
          <w:lang w:val="en-US"/>
        </w:rPr>
        <w:t>Luriganc</w:t>
      </w:r>
      <w:r>
        <w:rPr>
          <w:rFonts w:ascii="Times New Roman" w:hAnsi="Times New Roman" w:cs="Times New Roman"/>
          <w:sz w:val="20"/>
          <w:szCs w:val="20"/>
          <w:lang w:val="en-US"/>
        </w:rPr>
        <w:t>ho</w:t>
      </w:r>
      <w:proofErr w:type="spellEnd"/>
      <w:r>
        <w:rPr>
          <w:rFonts w:ascii="Times New Roman" w:hAnsi="Times New Roman" w:cs="Times New Roman"/>
          <w:sz w:val="20"/>
          <w:szCs w:val="20"/>
          <w:lang w:val="en-US"/>
        </w:rPr>
        <w:t>, Lima, Peru. It is a quantitative, descriptive study that collects the thoughts expressed by 474 regular students and class attendants. The study of the cards ratifies that the education provided in the classroom, in spite of the number of failed grades</w:t>
      </w:r>
      <w:r>
        <w:rPr>
          <w:rFonts w:ascii="Times New Roman" w:hAnsi="Times New Roman" w:cs="Times New Roman"/>
          <w:sz w:val="20"/>
          <w:szCs w:val="20"/>
          <w:lang w:val="en-US"/>
        </w:rPr>
        <w:t>, and the little interest shown by the students in developing the competencies of each course, together with the multiple facilities provided by the State to pass to the next grade, continues to be important, according to the students' answers, for their a</w:t>
      </w:r>
      <w:r>
        <w:rPr>
          <w:rFonts w:ascii="Times New Roman" w:hAnsi="Times New Roman" w:cs="Times New Roman"/>
          <w:sz w:val="20"/>
          <w:szCs w:val="20"/>
          <w:lang w:val="en-US"/>
        </w:rPr>
        <w:t>cademic future. It is concluded that the expectation in education continues to be relevant for students of a public institution in the search for a promising future.</w:t>
      </w:r>
    </w:p>
    <w:p w:rsidR="00BB1A0F" w:rsidRDefault="00BB1A0F">
      <w:pPr>
        <w:spacing w:after="0" w:line="240" w:lineRule="auto"/>
        <w:jc w:val="both"/>
        <w:rPr>
          <w:rFonts w:ascii="Times New Roman" w:hAnsi="Times New Roman" w:cs="Times New Roman"/>
          <w:sz w:val="20"/>
          <w:szCs w:val="20"/>
          <w:lang w:val="en-US"/>
        </w:rPr>
      </w:pPr>
    </w:p>
    <w:p w:rsidR="00BB1A0F" w:rsidRDefault="00364EA7">
      <w:pPr>
        <w:spacing w:after="0" w:line="240" w:lineRule="auto"/>
        <w:rPr>
          <w:rFonts w:ascii="Times New Roman" w:hAnsi="Times New Roman" w:cs="Times New Roman"/>
          <w:sz w:val="20"/>
          <w:szCs w:val="20"/>
          <w:lang w:val="en-US"/>
        </w:rPr>
      </w:pPr>
      <w:r>
        <w:rPr>
          <w:rFonts w:ascii="Times New Roman" w:hAnsi="Times New Roman" w:cs="Times New Roman"/>
          <w:b/>
          <w:sz w:val="20"/>
          <w:szCs w:val="20"/>
          <w:lang w:val="en-US"/>
        </w:rPr>
        <w:t xml:space="preserve">Keywords: </w:t>
      </w:r>
      <w:r>
        <w:rPr>
          <w:rFonts w:ascii="Times New Roman" w:hAnsi="Times New Roman" w:cs="Times New Roman"/>
          <w:sz w:val="20"/>
          <w:szCs w:val="20"/>
          <w:lang w:val="en-US"/>
        </w:rPr>
        <w:t>educational expectations, secondary level, school promotion</w:t>
      </w:r>
    </w:p>
    <w:p w:rsidR="00BB1A0F" w:rsidRPr="00E91822" w:rsidRDefault="00BB1A0F">
      <w:pPr>
        <w:spacing w:after="0" w:line="240" w:lineRule="auto"/>
        <w:rPr>
          <w:rFonts w:ascii="Times New Roman" w:hAnsi="Times New Roman" w:cs="Times New Roman"/>
          <w:sz w:val="20"/>
          <w:szCs w:val="20"/>
          <w:lang w:val="en-US"/>
        </w:rPr>
      </w:pPr>
    </w:p>
    <w:p w:rsidR="00BB1A0F" w:rsidRPr="00E91822" w:rsidRDefault="00BB1A0F">
      <w:pPr>
        <w:spacing w:after="0" w:line="240" w:lineRule="auto"/>
        <w:rPr>
          <w:rFonts w:ascii="Times New Roman" w:hAnsi="Times New Roman" w:cs="Times New Roman"/>
          <w:b/>
          <w:bCs/>
          <w:lang w:val="en-US"/>
        </w:rPr>
      </w:pPr>
    </w:p>
    <w:p w:rsidR="00BB1A0F" w:rsidRDefault="00364EA7">
      <w:pPr>
        <w:spacing w:after="0" w:line="240" w:lineRule="auto"/>
        <w:rPr>
          <w:rFonts w:ascii="Times New Roman" w:hAnsi="Times New Roman" w:cs="Times New Roman"/>
          <w:b/>
          <w:bCs/>
          <w:lang w:val="es-CO"/>
        </w:rPr>
      </w:pPr>
      <w:r>
        <w:rPr>
          <w:rFonts w:ascii="Times New Roman" w:hAnsi="Times New Roman" w:cs="Times New Roman"/>
          <w:b/>
          <w:szCs w:val="20"/>
          <w:lang w:val="es-CO"/>
        </w:rPr>
        <w:t>INTRODUCCIÓN</w:t>
      </w:r>
    </w:p>
    <w:p w:rsidR="00BB1A0F" w:rsidRDefault="00364EA7">
      <w:pPr>
        <w:pStyle w:val="NormalWeb"/>
        <w:spacing w:before="0" w:beforeAutospacing="0" w:after="0" w:afterAutospacing="0"/>
        <w:ind w:firstLine="709"/>
        <w:jc w:val="both"/>
        <w:rPr>
          <w:sz w:val="20"/>
        </w:rPr>
      </w:pPr>
      <w:r>
        <w:rPr>
          <w:sz w:val="20"/>
        </w:rPr>
        <w:t xml:space="preserve">A raíz de la pandemia, con el fin de no perjudicar el paso de un grado al siguiente, de un año escolar al otro, es decir, no asumir la </w:t>
      </w:r>
      <w:proofErr w:type="spellStart"/>
      <w:r>
        <w:rPr>
          <w:sz w:val="20"/>
        </w:rPr>
        <w:t>repitencia</w:t>
      </w:r>
      <w:proofErr w:type="spellEnd"/>
      <w:r>
        <w:rPr>
          <w:sz w:val="20"/>
        </w:rPr>
        <w:t xml:space="preserve">, el gobierno peruano promulgó </w:t>
      </w:r>
      <w:r>
        <w:rPr>
          <w:rStyle w:val="Strong"/>
          <w:b w:val="0"/>
          <w:sz w:val="20"/>
        </w:rPr>
        <w:t>en</w:t>
      </w:r>
      <w:r>
        <w:rPr>
          <w:b/>
          <w:sz w:val="20"/>
        </w:rPr>
        <w:t xml:space="preserve"> </w:t>
      </w:r>
      <w:r>
        <w:rPr>
          <w:sz w:val="20"/>
        </w:rPr>
        <w:t xml:space="preserve">el año 2020 algunas leyes para que las instituciones educativas estatales promovieran automáticamente a los estudiantes de educación básica regular, </w:t>
      </w:r>
      <w:r>
        <w:rPr>
          <w:rStyle w:val="Strong"/>
          <w:b w:val="0"/>
          <w:sz w:val="20"/>
        </w:rPr>
        <w:t>de un grado al siguiente</w:t>
      </w:r>
      <w:r>
        <w:rPr>
          <w:sz w:val="20"/>
        </w:rPr>
        <w:t xml:space="preserve">. Esta medida, </w:t>
      </w:r>
      <w:r>
        <w:rPr>
          <w:rStyle w:val="Strong"/>
          <w:b w:val="0"/>
          <w:sz w:val="20"/>
        </w:rPr>
        <w:t>por un lado</w:t>
      </w:r>
      <w:r>
        <w:rPr>
          <w:sz w:val="20"/>
        </w:rPr>
        <w:t xml:space="preserve">, facilitó a los estudiantes de bajos recursos </w:t>
      </w:r>
      <w:r>
        <w:rPr>
          <w:rStyle w:val="Strong"/>
          <w:b w:val="0"/>
          <w:sz w:val="20"/>
        </w:rPr>
        <w:t>no</w:t>
      </w:r>
      <w:r>
        <w:rPr>
          <w:b/>
          <w:sz w:val="20"/>
        </w:rPr>
        <w:t xml:space="preserve"> </w:t>
      </w:r>
      <w:r>
        <w:rPr>
          <w:sz w:val="20"/>
        </w:rPr>
        <w:t>perjudi</w:t>
      </w:r>
      <w:r>
        <w:rPr>
          <w:sz w:val="20"/>
        </w:rPr>
        <w:t xml:space="preserve">carse en el retraso o el repetir en el mismo grado </w:t>
      </w:r>
      <w:r>
        <w:rPr>
          <w:rStyle w:val="Strong"/>
          <w:b w:val="0"/>
          <w:sz w:val="20"/>
        </w:rPr>
        <w:t>en sus</w:t>
      </w:r>
      <w:r>
        <w:rPr>
          <w:rStyle w:val="Strong"/>
          <w:sz w:val="20"/>
        </w:rPr>
        <w:t xml:space="preserve"> </w:t>
      </w:r>
      <w:r>
        <w:rPr>
          <w:rStyle w:val="Strong"/>
          <w:b w:val="0"/>
          <w:sz w:val="20"/>
        </w:rPr>
        <w:t>estudios</w:t>
      </w:r>
      <w:r>
        <w:rPr>
          <w:sz w:val="20"/>
        </w:rPr>
        <w:t xml:space="preserve">, dado su poca </w:t>
      </w:r>
      <w:r>
        <w:rPr>
          <w:rStyle w:val="Strong"/>
          <w:b w:val="0"/>
          <w:sz w:val="20"/>
        </w:rPr>
        <w:t>posibilidad de</w:t>
      </w:r>
      <w:r>
        <w:rPr>
          <w:sz w:val="20"/>
        </w:rPr>
        <w:t xml:space="preserve"> conectividad o al no contar con herramientas para seguir </w:t>
      </w:r>
      <w:r>
        <w:rPr>
          <w:rStyle w:val="Strong"/>
          <w:b w:val="0"/>
          <w:sz w:val="20"/>
        </w:rPr>
        <w:t>las</w:t>
      </w:r>
      <w:r>
        <w:rPr>
          <w:sz w:val="20"/>
        </w:rPr>
        <w:t xml:space="preserve"> clases virtuales; </w:t>
      </w:r>
      <w:r>
        <w:rPr>
          <w:rStyle w:val="Strong"/>
          <w:b w:val="0"/>
          <w:sz w:val="20"/>
        </w:rPr>
        <w:t>por otro lado</w:t>
      </w:r>
      <w:r>
        <w:rPr>
          <w:sz w:val="20"/>
        </w:rPr>
        <w:t xml:space="preserve">, resultó perjudicial en dos frentes: 1) en el aprendizaje, no </w:t>
      </w:r>
      <w:r>
        <w:rPr>
          <w:rStyle w:val="Strong"/>
          <w:b w:val="0"/>
          <w:sz w:val="20"/>
        </w:rPr>
        <w:t>se</w:t>
      </w:r>
      <w:r>
        <w:rPr>
          <w:sz w:val="20"/>
        </w:rPr>
        <w:t xml:space="preserve"> ha</w:t>
      </w:r>
      <w:r>
        <w:rPr>
          <w:sz w:val="20"/>
        </w:rPr>
        <w:t xml:space="preserve"> aprovechado </w:t>
      </w:r>
      <w:r>
        <w:rPr>
          <w:rStyle w:val="Strong"/>
          <w:b w:val="0"/>
          <w:sz w:val="20"/>
        </w:rPr>
        <w:t>mucho</w:t>
      </w:r>
      <w:r>
        <w:rPr>
          <w:b/>
          <w:sz w:val="20"/>
        </w:rPr>
        <w:t xml:space="preserve"> </w:t>
      </w:r>
      <w:r>
        <w:rPr>
          <w:sz w:val="20"/>
        </w:rPr>
        <w:t xml:space="preserve">o nada en el desarrollo de las competencias y al pasar </w:t>
      </w:r>
      <w:r>
        <w:rPr>
          <w:rStyle w:val="Strong"/>
          <w:b w:val="0"/>
          <w:sz w:val="20"/>
        </w:rPr>
        <w:t>al</w:t>
      </w:r>
      <w:r>
        <w:rPr>
          <w:b/>
          <w:sz w:val="20"/>
        </w:rPr>
        <w:t xml:space="preserve"> </w:t>
      </w:r>
      <w:r>
        <w:rPr>
          <w:sz w:val="20"/>
        </w:rPr>
        <w:t xml:space="preserve">grado inmediato, se </w:t>
      </w:r>
      <w:r>
        <w:rPr>
          <w:rStyle w:val="Strong"/>
          <w:b w:val="0"/>
          <w:sz w:val="20"/>
        </w:rPr>
        <w:t>les</w:t>
      </w:r>
      <w:r>
        <w:rPr>
          <w:sz w:val="20"/>
        </w:rPr>
        <w:t xml:space="preserve"> hace daño intelectual, ya que no tienen el nivel estándar que debe mostrar </w:t>
      </w:r>
      <w:r>
        <w:rPr>
          <w:rStyle w:val="Strong"/>
          <w:b w:val="0"/>
          <w:sz w:val="20"/>
        </w:rPr>
        <w:t>en</w:t>
      </w:r>
      <w:r>
        <w:rPr>
          <w:sz w:val="20"/>
        </w:rPr>
        <w:t xml:space="preserve"> el grado inmediato superior, </w:t>
      </w:r>
      <w:r>
        <w:rPr>
          <w:rStyle w:val="Strong"/>
          <w:b w:val="0"/>
          <w:sz w:val="20"/>
        </w:rPr>
        <w:t>nivel que</w:t>
      </w:r>
      <w:r>
        <w:rPr>
          <w:sz w:val="20"/>
        </w:rPr>
        <w:t xml:space="preserve"> el mismo Estado pregona; 2) en las cir</w:t>
      </w:r>
      <w:r>
        <w:rPr>
          <w:sz w:val="20"/>
        </w:rPr>
        <w:t xml:space="preserve">cunstancias descritas, </w:t>
      </w:r>
      <w:r>
        <w:rPr>
          <w:rStyle w:val="Strong"/>
          <w:b w:val="0"/>
          <w:sz w:val="20"/>
        </w:rPr>
        <w:t>es decir,</w:t>
      </w:r>
      <w:r>
        <w:rPr>
          <w:sz w:val="20"/>
        </w:rPr>
        <w:t xml:space="preserve"> al pasar sin una evaluación de sus conocimientos </w:t>
      </w:r>
      <w:r>
        <w:rPr>
          <w:rStyle w:val="Strong"/>
          <w:sz w:val="20"/>
        </w:rPr>
        <w:t>y</w:t>
      </w:r>
      <w:r>
        <w:rPr>
          <w:sz w:val="20"/>
        </w:rPr>
        <w:t xml:space="preserve"> sin tener el conocimiento esperado o el logro de progreso para el grado correspondiente, la educación como tal perdió interés y valor para los estudiantes y padres de famil</w:t>
      </w:r>
      <w:r>
        <w:rPr>
          <w:sz w:val="20"/>
        </w:rPr>
        <w:t xml:space="preserve">ia, porque ya no </w:t>
      </w:r>
      <w:r>
        <w:rPr>
          <w:rStyle w:val="Strong"/>
          <w:b w:val="0"/>
          <w:sz w:val="20"/>
        </w:rPr>
        <w:t>existía</w:t>
      </w:r>
      <w:r>
        <w:rPr>
          <w:sz w:val="20"/>
        </w:rPr>
        <w:t xml:space="preserve"> la necesidad de hacer el esfuerzo académico para alcanzar la promoción al grado siguiente. Y si esto no fue suficiente, el Gobierno promovió las carpetas de recuperación, </w:t>
      </w:r>
      <w:r>
        <w:rPr>
          <w:rStyle w:val="Strong"/>
          <w:b w:val="0"/>
          <w:sz w:val="20"/>
        </w:rPr>
        <w:t>las cuales</w:t>
      </w:r>
      <w:r>
        <w:rPr>
          <w:sz w:val="20"/>
        </w:rPr>
        <w:t xml:space="preserve"> circulaban en las redes sociales con sus respecti</w:t>
      </w:r>
      <w:r>
        <w:rPr>
          <w:sz w:val="20"/>
        </w:rPr>
        <w:t xml:space="preserve">vas respuestas. En consecuencia, el estudiante que debía desarrollar </w:t>
      </w:r>
      <w:r>
        <w:rPr>
          <w:rStyle w:val="Strong"/>
          <w:b w:val="0"/>
          <w:sz w:val="20"/>
        </w:rPr>
        <w:t>con</w:t>
      </w:r>
      <w:r>
        <w:rPr>
          <w:sz w:val="20"/>
        </w:rPr>
        <w:t xml:space="preserve"> conciencia la competencia y sus capacidades que le faltaba, solo copiaba y entregaba a la institución respectiva. Ante esta realidad, se encuentran perspectivas como, por ejemplo, </w:t>
      </w:r>
      <w:r>
        <w:rPr>
          <w:rStyle w:val="Strong"/>
          <w:b w:val="0"/>
          <w:sz w:val="20"/>
        </w:rPr>
        <w:t>las</w:t>
      </w:r>
      <w:r>
        <w:rPr>
          <w:sz w:val="20"/>
        </w:rPr>
        <w:t xml:space="preserve"> de la UNESCO (2021), que destaca la oportunidad de repensar la educación con </w:t>
      </w:r>
      <w:r>
        <w:rPr>
          <w:rStyle w:val="Strong"/>
          <w:b w:val="0"/>
          <w:sz w:val="20"/>
        </w:rPr>
        <w:t>una</w:t>
      </w:r>
      <w:r>
        <w:rPr>
          <w:sz w:val="20"/>
        </w:rPr>
        <w:t xml:space="preserve"> perspectiva de futuro.</w:t>
      </w:r>
    </w:p>
    <w:p w:rsidR="00BB1A0F" w:rsidRDefault="00364EA7">
      <w:pPr>
        <w:pStyle w:val="NormalWeb"/>
        <w:spacing w:before="0" w:beforeAutospacing="0" w:after="0" w:afterAutospacing="0"/>
        <w:ind w:firstLine="709"/>
        <w:jc w:val="both"/>
        <w:rPr>
          <w:sz w:val="20"/>
        </w:rPr>
      </w:pPr>
      <w:r>
        <w:rPr>
          <w:sz w:val="20"/>
        </w:rPr>
        <w:t>La educación tiene un papel esencial en el desarrollo personal y social, especialmente en la etapa de la educación media superior, donde los jóvenes en</w:t>
      </w:r>
      <w:r>
        <w:rPr>
          <w:sz w:val="20"/>
        </w:rPr>
        <w:t>frentan decisiones cruciales para su futuro. Según Romero et al. (2021), esta etapa es determinante, pero la complejidad del entorno académico lleva a muchos estudiantes a abandonar sus estudios, aunque no siempre de manera definitiva. En ciertos casos, el</w:t>
      </w:r>
      <w:r>
        <w:rPr>
          <w:sz w:val="20"/>
        </w:rPr>
        <w:t xml:space="preserve"> regreso a las aulas se plantea en función de sus metas y expectativas personales. Esto demuestra que numerosos jóvenes perciben a las instituciones educativas como un medio para construir un futuro más prometedor y depositan en ellas su confianza para log</w:t>
      </w:r>
      <w:r>
        <w:rPr>
          <w:sz w:val="20"/>
        </w:rPr>
        <w:t>rarlo.</w:t>
      </w:r>
    </w:p>
    <w:p w:rsidR="00BB1A0F" w:rsidRDefault="00364EA7">
      <w:pPr>
        <w:pStyle w:val="NormalWeb"/>
        <w:spacing w:before="0" w:beforeAutospacing="0" w:after="0" w:afterAutospacing="0"/>
        <w:ind w:firstLine="709"/>
        <w:jc w:val="both"/>
        <w:rPr>
          <w:sz w:val="20"/>
        </w:rPr>
      </w:pPr>
      <w:r>
        <w:rPr>
          <w:sz w:val="20"/>
        </w:rPr>
        <w:t>El Consejo Nacional de Educación (2022) señala que uno de los principales problemas relacionados con el rendimiento escolar de los adolescentes es que solo una minoría logra alcanzar aprendizajes avanzados del currículo nacional. Este panorama es aú</w:t>
      </w:r>
      <w:r>
        <w:rPr>
          <w:sz w:val="20"/>
        </w:rPr>
        <w:t xml:space="preserve">n más preocupante para los estudiantes que residen en áreas rurales, asisten a escuelas públicas, han repetido algún grado o tienen como lengua materna </w:t>
      </w:r>
      <w:r>
        <w:rPr>
          <w:rStyle w:val="Strong"/>
          <w:b w:val="0"/>
          <w:sz w:val="20"/>
        </w:rPr>
        <w:t>las</w:t>
      </w:r>
      <w:r>
        <w:rPr>
          <w:sz w:val="20"/>
        </w:rPr>
        <w:t xml:space="preserve"> lenguas originarias. Además, un grupo considerable de adolescentes apenas alcanza un nivel básico en</w:t>
      </w:r>
      <w:r>
        <w:rPr>
          <w:sz w:val="20"/>
        </w:rPr>
        <w:t xml:space="preserve"> áreas como matemáticas, comprensión lectora, ciencias sociales y ciencia y tecnología, mientras que otro segmento no logra ni siquiera ese nivel mínimo. Es decir, la educación interesa poco </w:t>
      </w:r>
      <w:r>
        <w:rPr>
          <w:rStyle w:val="Strong"/>
          <w:b w:val="0"/>
          <w:sz w:val="20"/>
        </w:rPr>
        <w:t>a</w:t>
      </w:r>
      <w:r>
        <w:rPr>
          <w:sz w:val="20"/>
        </w:rPr>
        <w:t xml:space="preserve"> los estudiantes y a los miembros de su entorno, dado que no se </w:t>
      </w:r>
      <w:r>
        <w:rPr>
          <w:sz w:val="20"/>
        </w:rPr>
        <w:t xml:space="preserve">preocupan por comprender lo que aprenden. Y para agravar el tema, menos del 20 % de </w:t>
      </w:r>
      <w:r>
        <w:rPr>
          <w:rStyle w:val="Strong"/>
          <w:b w:val="0"/>
          <w:sz w:val="20"/>
        </w:rPr>
        <w:t>los</w:t>
      </w:r>
      <w:r>
        <w:rPr>
          <w:sz w:val="20"/>
        </w:rPr>
        <w:t xml:space="preserve"> jóvenes de la patria alcanzan un beneficio </w:t>
      </w:r>
      <w:r>
        <w:rPr>
          <w:rStyle w:val="Strong"/>
          <w:b w:val="0"/>
          <w:sz w:val="20"/>
        </w:rPr>
        <w:t>significativo</w:t>
      </w:r>
      <w:r>
        <w:rPr>
          <w:sz w:val="20"/>
        </w:rPr>
        <w:t xml:space="preserve"> en las capacidades estimadas por la Valoración Censal de Estudiantes. En el año 2012, bajo la visión de la encu</w:t>
      </w:r>
      <w:r>
        <w:rPr>
          <w:sz w:val="20"/>
        </w:rPr>
        <w:t xml:space="preserve">esta de Lima Cómo Vamos (2012), cada vez más hogares se encuentran insatisfechos con la instrucción que </w:t>
      </w:r>
      <w:r>
        <w:rPr>
          <w:rStyle w:val="Strong"/>
          <w:b w:val="0"/>
          <w:sz w:val="20"/>
        </w:rPr>
        <w:t>reciben</w:t>
      </w:r>
      <w:r>
        <w:rPr>
          <w:b/>
          <w:sz w:val="20"/>
        </w:rPr>
        <w:t xml:space="preserve"> </w:t>
      </w:r>
      <w:r>
        <w:rPr>
          <w:sz w:val="20"/>
        </w:rPr>
        <w:t xml:space="preserve">los </w:t>
      </w:r>
      <w:r>
        <w:rPr>
          <w:rStyle w:val="Strong"/>
          <w:b w:val="0"/>
          <w:sz w:val="20"/>
        </w:rPr>
        <w:t>niños</w:t>
      </w:r>
      <w:r>
        <w:rPr>
          <w:sz w:val="20"/>
        </w:rPr>
        <w:t xml:space="preserve"> y jóvenes. Este contexto exige una revisión de qué se está entendiendo por expectativa sobre la educación desde la perspectiva del est</w:t>
      </w:r>
      <w:r>
        <w:rPr>
          <w:sz w:val="20"/>
        </w:rPr>
        <w:t>udiante. Esta frase se concibe como el deseo y la motivación del estudiante por aprender una clase, un tema y profundizar en el dominio de la misma.</w:t>
      </w:r>
    </w:p>
    <w:p w:rsidR="00BB1A0F" w:rsidRDefault="00364EA7">
      <w:pPr>
        <w:pStyle w:val="NormalWeb"/>
        <w:spacing w:before="0" w:beforeAutospacing="0" w:after="0" w:afterAutospacing="0"/>
        <w:ind w:firstLine="709"/>
        <w:jc w:val="both"/>
        <w:rPr>
          <w:sz w:val="20"/>
        </w:rPr>
      </w:pPr>
      <w:r>
        <w:rPr>
          <w:sz w:val="20"/>
        </w:rPr>
        <w:t>En 2024, los jóvenes de América Latina y el Caribe, con el respaldo de UNICEF y UNESCO, presentan una carta</w:t>
      </w:r>
      <w:r>
        <w:rPr>
          <w:sz w:val="20"/>
        </w:rPr>
        <w:t xml:space="preserve"> abierta a sus gobernantes con siete propuestas principales. Según UNICEF (2024), dos de estos puntos destacan especialmente: primero, la necesidad de transformar la metodología educativa hacia enfoques más participativos y prácticos, adaptados a las neces</w:t>
      </w:r>
      <w:r>
        <w:rPr>
          <w:sz w:val="20"/>
        </w:rPr>
        <w:t>idades de niños, niñas, adolescentes y jóvenes. Este cambio implica priorizar la enseñanza de habilidades para la vida, modificar la estructura de las clases y renovar los espacios educativos para crear entornos de aprendizaje integrales, así como actualiz</w:t>
      </w:r>
      <w:r>
        <w:rPr>
          <w:sz w:val="20"/>
        </w:rPr>
        <w:t xml:space="preserve">ar la formación docente y los currículos. Además, se subraya la importancia de dar mayor atención al bienestar y desarrollo personal, al tiempo que se fortalecen los espacios formativos </w:t>
      </w:r>
      <w:r>
        <w:rPr>
          <w:rStyle w:val="Strong"/>
          <w:b w:val="0"/>
          <w:sz w:val="20"/>
        </w:rPr>
        <w:t>tanto</w:t>
      </w:r>
      <w:r>
        <w:rPr>
          <w:b/>
          <w:sz w:val="20"/>
        </w:rPr>
        <w:t xml:space="preserve"> </w:t>
      </w:r>
      <w:r>
        <w:rPr>
          <w:sz w:val="20"/>
        </w:rPr>
        <w:t xml:space="preserve">formales </w:t>
      </w:r>
      <w:r>
        <w:rPr>
          <w:rStyle w:val="Strong"/>
          <w:b w:val="0"/>
          <w:sz w:val="20"/>
        </w:rPr>
        <w:t>como</w:t>
      </w:r>
      <w:r>
        <w:rPr>
          <w:sz w:val="20"/>
        </w:rPr>
        <w:t xml:space="preserve"> informales, promoviendo proyectos de vida y trayec</w:t>
      </w:r>
      <w:r>
        <w:rPr>
          <w:sz w:val="20"/>
        </w:rPr>
        <w:t>torias profesionales que potencian las habilidades y talentos individuales de los estudiantes.</w:t>
      </w:r>
    </w:p>
    <w:p w:rsidR="00BB1A0F" w:rsidRDefault="00364EA7">
      <w:pPr>
        <w:pStyle w:val="NormalWeb"/>
        <w:spacing w:before="0" w:beforeAutospacing="0" w:after="0" w:afterAutospacing="0"/>
        <w:ind w:firstLine="709"/>
        <w:jc w:val="both"/>
        <w:rPr>
          <w:sz w:val="20"/>
        </w:rPr>
      </w:pPr>
      <w:r>
        <w:rPr>
          <w:sz w:val="20"/>
        </w:rPr>
        <w:t xml:space="preserve">Estas demandas reconocen que la educación es fundamental en todos los aspectos de la vida. Constituye uno de los pilares con mayor impacto en el desarrollo y el </w:t>
      </w:r>
      <w:r>
        <w:rPr>
          <w:sz w:val="20"/>
        </w:rPr>
        <w:t>progreso tanto de los individuos como de las sociedades, ya que proporciona conocimientos y enriquece la cultura, los valores y el espíritu. Una educación bien estructurada contribuye a mejorar los niveles de bienestar social y crecimiento económico, reduc</w:t>
      </w:r>
      <w:r>
        <w:rPr>
          <w:sz w:val="20"/>
        </w:rPr>
        <w:t>ir las desigualdades sociales y económicas, fomentar la movilidad social, facilitar el acceso a empleos de calidad y enriquecer las condiciones culturales de la población. Además, amplía las oportunidades para los jóvenes, refuerza los valores cívicos y la</w:t>
      </w:r>
      <w:r>
        <w:rPr>
          <w:sz w:val="20"/>
        </w:rPr>
        <w:t>icos, promoviendo relaciones sólidas dentro de las comunidades. Asimismo, una educación de calidad fortalece la democracia y el Estado de derecho, al tiempo que impulsa los avances en ciencia, tecnología e innovación.</w:t>
      </w:r>
    </w:p>
    <w:p w:rsidR="00BB1A0F" w:rsidRDefault="00364EA7">
      <w:pPr>
        <w:pStyle w:val="NormalWeb"/>
        <w:spacing w:before="0" w:beforeAutospacing="0" w:after="0" w:afterAutospacing="0"/>
        <w:ind w:firstLine="709"/>
        <w:jc w:val="both"/>
        <w:rPr>
          <w:sz w:val="20"/>
        </w:rPr>
      </w:pPr>
      <w:r>
        <w:rPr>
          <w:sz w:val="20"/>
        </w:rPr>
        <w:lastRenderedPageBreak/>
        <w:t>Las expectativas educativas de padres,</w:t>
      </w:r>
      <w:r>
        <w:rPr>
          <w:sz w:val="20"/>
        </w:rPr>
        <w:t xml:space="preserve"> docentes y estudiantes en contextos urbanos y rurales del país reflejan una notable coincidencia entre padres e hijos al inicio de la educación secundaria, ya que en ambos entornos </w:t>
      </w:r>
      <w:r>
        <w:rPr>
          <w:rStyle w:val="Strong"/>
          <w:b w:val="0"/>
          <w:sz w:val="20"/>
        </w:rPr>
        <w:t>la mayoría espera</w:t>
      </w:r>
      <w:r>
        <w:rPr>
          <w:sz w:val="20"/>
        </w:rPr>
        <w:t xml:space="preserve"> que los jóvenes accedan a la educación superior. Esta al</w:t>
      </w:r>
      <w:r>
        <w:rPr>
          <w:sz w:val="20"/>
        </w:rPr>
        <w:t xml:space="preserve">ta valoración de la educación, promovida por las familias, es transmitida de padres a hijos como parte de su socialización. Sin embargo, </w:t>
      </w:r>
      <w:r>
        <w:rPr>
          <w:rStyle w:val="Strong"/>
          <w:b w:val="0"/>
          <w:sz w:val="20"/>
        </w:rPr>
        <w:t>según</w:t>
      </w:r>
      <w:r>
        <w:rPr>
          <w:sz w:val="20"/>
        </w:rPr>
        <w:t xml:space="preserve"> Guerrero (2018), las expectativas de los docentes suelen ser menores que las de los padres y estudiantes, especia</w:t>
      </w:r>
      <w:r>
        <w:rPr>
          <w:sz w:val="20"/>
        </w:rPr>
        <w:t xml:space="preserve">lmente en áreas rurales, lo que podría explicarse </w:t>
      </w:r>
      <w:r>
        <w:rPr>
          <w:rStyle w:val="Strong"/>
          <w:b w:val="0"/>
          <w:sz w:val="20"/>
        </w:rPr>
        <w:t>porque</w:t>
      </w:r>
      <w:r>
        <w:rPr>
          <w:sz w:val="20"/>
        </w:rPr>
        <w:t xml:space="preserve"> los docentes no solo consideran la importancia de la educación en la vida de los jóvenes, sino también factores como el nivel socioeconómico familiar o el nivel educativo de los padres. Estas aspirac</w:t>
      </w:r>
      <w:r>
        <w:rPr>
          <w:sz w:val="20"/>
        </w:rPr>
        <w:t xml:space="preserve">iones están vinculadas al apoyo familiar, principalmente económico. </w:t>
      </w:r>
      <w:r>
        <w:rPr>
          <w:rStyle w:val="Strong"/>
          <w:b w:val="0"/>
          <w:sz w:val="20"/>
        </w:rPr>
        <w:t>Los que logran</w:t>
      </w:r>
      <w:r>
        <w:rPr>
          <w:sz w:val="20"/>
        </w:rPr>
        <w:t xml:space="preserve"> finalizar la educación secundaria y avanzar hacia la educación superior generalmente pertenecen a familias jóvenes que priorizan la inversión educativa, incluso en situacion</w:t>
      </w:r>
      <w:r>
        <w:rPr>
          <w:sz w:val="20"/>
        </w:rPr>
        <w:t>es de recursos limitados. Además, la educación ha adquirido mayor relevancia en la actualidad debido a las rápidas transformaciones impulsadas por los avances científicos y tecnológicos, así como por el desarrollo de los medios de información y comunicació</w:t>
      </w:r>
      <w:r>
        <w:rPr>
          <w:sz w:val="20"/>
        </w:rPr>
        <w:t>n.</w:t>
      </w:r>
    </w:p>
    <w:p w:rsidR="00BB1A0F" w:rsidRDefault="00364EA7">
      <w:pPr>
        <w:pStyle w:val="NormalWeb"/>
        <w:spacing w:before="0" w:beforeAutospacing="0" w:after="0" w:afterAutospacing="0"/>
        <w:ind w:firstLine="709"/>
        <w:jc w:val="both"/>
        <w:rPr>
          <w:sz w:val="20"/>
        </w:rPr>
      </w:pPr>
      <w:r>
        <w:rPr>
          <w:sz w:val="20"/>
        </w:rPr>
        <w:t>En las economías actuales, el conocimiento se ha posicionado como un factor esencial en los procesos de producción. Las sociedades que han alcanzado mayores avances económicos y sociales han basado su progreso en el desarrollo del conocimiento (Pérez et</w:t>
      </w:r>
      <w:r>
        <w:rPr>
          <w:sz w:val="20"/>
        </w:rPr>
        <w:t xml:space="preserve"> al., 2021). La productividad y </w:t>
      </w:r>
      <w:r>
        <w:rPr>
          <w:rStyle w:val="Strong"/>
          <w:b w:val="0"/>
          <w:sz w:val="20"/>
        </w:rPr>
        <w:t>competitividad</w:t>
      </w:r>
      <w:r>
        <w:rPr>
          <w:b/>
          <w:sz w:val="20"/>
        </w:rPr>
        <w:t xml:space="preserve"> </w:t>
      </w:r>
      <w:r>
        <w:rPr>
          <w:sz w:val="20"/>
        </w:rPr>
        <w:t xml:space="preserve">de las economías, junto con </w:t>
      </w:r>
      <w:r>
        <w:rPr>
          <w:rStyle w:val="Strong"/>
          <w:b w:val="0"/>
          <w:sz w:val="20"/>
        </w:rPr>
        <w:t>la</w:t>
      </w:r>
      <w:r>
        <w:rPr>
          <w:sz w:val="20"/>
        </w:rPr>
        <w:t xml:space="preserve"> buena parte del desarrollo social y cultural de los países, dependen cada vez más de la educación, la ciencia y la innovación tecnológica. La experiencia internacional revela una</w:t>
      </w:r>
      <w:r>
        <w:rPr>
          <w:sz w:val="20"/>
        </w:rPr>
        <w:t xml:space="preserve"> clara relación entre el nivel de desarrollo integral de una nación y la solidez de sus sistemas educativos, de investigación científica y tecnológica. Según investigaciones de la Organización para la Cooperación y el Desarrollo Económicos (OCDE), aumentar</w:t>
      </w:r>
      <w:r>
        <w:rPr>
          <w:sz w:val="20"/>
        </w:rPr>
        <w:t xml:space="preserve"> un año de escolaridad puede elevar el PIB per cápita de un país entre un 4% y un 7%. En este contexto, el conocimiento se destaca como una inversión estratégica en términos económicos y una prioridad para el progreso social.</w:t>
      </w:r>
    </w:p>
    <w:p w:rsidR="00BB1A0F" w:rsidRDefault="00364EA7">
      <w:pPr>
        <w:pStyle w:val="NormalWeb"/>
        <w:spacing w:before="0" w:beforeAutospacing="0" w:after="0" w:afterAutospacing="0"/>
        <w:ind w:firstLine="709"/>
        <w:jc w:val="both"/>
        <w:rPr>
          <w:sz w:val="20"/>
        </w:rPr>
      </w:pPr>
      <w:r>
        <w:rPr>
          <w:sz w:val="20"/>
        </w:rPr>
        <w:t>La educación contribuye a cons</w:t>
      </w:r>
      <w:r>
        <w:rPr>
          <w:sz w:val="20"/>
        </w:rPr>
        <w:t xml:space="preserve">truir sociedades más equitativas, productivas y justas. Además, se considera un bien social que hace más libres a los seres humanos. Para </w:t>
      </w:r>
      <w:r>
        <w:rPr>
          <w:rStyle w:val="Strong"/>
          <w:b w:val="0"/>
          <w:sz w:val="20"/>
        </w:rPr>
        <w:t>ello</w:t>
      </w:r>
      <w:r>
        <w:rPr>
          <w:sz w:val="20"/>
        </w:rPr>
        <w:t xml:space="preserve">, se requiere una motivación y responsabilidad personal, familiar y </w:t>
      </w:r>
      <w:r>
        <w:rPr>
          <w:rStyle w:val="Strong"/>
          <w:b w:val="0"/>
          <w:sz w:val="20"/>
        </w:rPr>
        <w:t>de</w:t>
      </w:r>
      <w:r>
        <w:rPr>
          <w:sz w:val="20"/>
        </w:rPr>
        <w:t xml:space="preserve"> los maestros, actores importantes en el aprendizaje.</w:t>
      </w:r>
    </w:p>
    <w:p w:rsidR="00BB1A0F" w:rsidRDefault="00364EA7">
      <w:pPr>
        <w:pStyle w:val="NormalWeb"/>
        <w:spacing w:before="0" w:beforeAutospacing="0" w:after="0" w:afterAutospacing="0"/>
        <w:ind w:firstLine="709"/>
        <w:jc w:val="both"/>
        <w:rPr>
          <w:sz w:val="20"/>
        </w:rPr>
      </w:pPr>
      <w:r>
        <w:rPr>
          <w:sz w:val="20"/>
        </w:rPr>
        <w:t xml:space="preserve">En la revisión de investigaciones, se cuenta con poca información </w:t>
      </w:r>
      <w:r>
        <w:rPr>
          <w:rStyle w:val="Strong"/>
          <w:b w:val="0"/>
          <w:sz w:val="20"/>
        </w:rPr>
        <w:t>respecto a</w:t>
      </w:r>
      <w:r>
        <w:rPr>
          <w:sz w:val="20"/>
        </w:rPr>
        <w:t xml:space="preserve"> las expectativas sobre la educación en jóvenes de secundaria. Los que se hallaron guardan relación sobre todo con estudiantes</w:t>
      </w:r>
      <w:r>
        <w:rPr>
          <w:sz w:val="20"/>
        </w:rPr>
        <w:t xml:space="preserve"> de quinto de secundaria; mientras que para los grados anteriores no hay estudios.</w:t>
      </w:r>
    </w:p>
    <w:p w:rsidR="00BB1A0F" w:rsidRDefault="00364EA7">
      <w:pPr>
        <w:pStyle w:val="NormalWeb"/>
        <w:spacing w:before="0" w:beforeAutospacing="0" w:after="0" w:afterAutospacing="0"/>
        <w:ind w:firstLine="709"/>
        <w:jc w:val="both"/>
        <w:rPr>
          <w:sz w:val="20"/>
        </w:rPr>
      </w:pPr>
      <w:r>
        <w:rPr>
          <w:sz w:val="20"/>
        </w:rPr>
        <w:t xml:space="preserve">Antes de avanzar, es importante señalar que existen investigaciones relacionadas con las expectativas académicas de los estudiantes durante su formación. Según Conde et al. </w:t>
      </w:r>
      <w:r>
        <w:rPr>
          <w:sz w:val="20"/>
        </w:rPr>
        <w:t xml:space="preserve">(2017), estas expectativas se basan en experiencias y eventos previos que permiten prever lo que podría ocurrir en el futuro. Cuando los acontecimientos anticipados se materializan, se desarrolla la conducta prevista, lo que evidencia que las expectativas </w:t>
      </w:r>
      <w:r>
        <w:rPr>
          <w:sz w:val="20"/>
        </w:rPr>
        <w:t>tienen un impacto significativo en el comportamiento y cumplen una función adaptativa, favoreciendo o dificultando el ajuste a la realidad académica. Además, Conde et al. (2017) señalan que la adaptación académica en diferentes contextos de aprendizaje est</w:t>
      </w:r>
      <w:r>
        <w:rPr>
          <w:sz w:val="20"/>
        </w:rPr>
        <w:t>á influenciada por factores personales, académicos y sociales, los cuales pueden generar percepciones de dificultad en los estudiantes, complicando su proceso de adaptación.</w:t>
      </w:r>
    </w:p>
    <w:p w:rsidR="00BB1A0F" w:rsidRDefault="00364EA7">
      <w:pPr>
        <w:pStyle w:val="NormalWeb"/>
        <w:spacing w:before="0" w:beforeAutospacing="0" w:after="0" w:afterAutospacing="0"/>
        <w:ind w:firstLine="709"/>
        <w:jc w:val="both"/>
        <w:rPr>
          <w:sz w:val="20"/>
        </w:rPr>
      </w:pPr>
      <w:r>
        <w:rPr>
          <w:sz w:val="20"/>
        </w:rPr>
        <w:t xml:space="preserve">A continuación, se presentan algunos puntos relevantes sobre la deserción y la </w:t>
      </w:r>
      <w:proofErr w:type="spellStart"/>
      <w:r>
        <w:rPr>
          <w:rStyle w:val="Strong"/>
          <w:b w:val="0"/>
          <w:sz w:val="20"/>
        </w:rPr>
        <w:t>rep</w:t>
      </w:r>
      <w:r>
        <w:rPr>
          <w:rStyle w:val="Strong"/>
          <w:b w:val="0"/>
          <w:sz w:val="20"/>
        </w:rPr>
        <w:t>itencia</w:t>
      </w:r>
      <w:proofErr w:type="spellEnd"/>
      <w:r>
        <w:rPr>
          <w:sz w:val="20"/>
        </w:rPr>
        <w:t xml:space="preserve"> escolar. Para Torres y cols. (2015), en su revisión analítica, examinan las problemáticas asociadas a estos fenómenos, destacando que pueden ser tanto causas como efectos de las expectativas en torno a la educación. Este estudio se enfoca en las ra</w:t>
      </w:r>
      <w:r>
        <w:rPr>
          <w:sz w:val="20"/>
        </w:rPr>
        <w:t xml:space="preserve">zones que generan estos problemas y sus repercusiones en los sistemas educativos de América Latina, subrayando la importancia de la educación para el desarrollo social. Según Torres et al. (2015), la deserción escolar es un fenómeno </w:t>
      </w:r>
      <w:proofErr w:type="spellStart"/>
      <w:r>
        <w:rPr>
          <w:sz w:val="20"/>
        </w:rPr>
        <w:t>multicausal</w:t>
      </w:r>
      <w:proofErr w:type="spellEnd"/>
      <w:r>
        <w:rPr>
          <w:sz w:val="20"/>
        </w:rPr>
        <w:t>, relacionad</w:t>
      </w:r>
      <w:r>
        <w:rPr>
          <w:sz w:val="20"/>
        </w:rPr>
        <w:t>o con factores personales de los estudiantes, como sus características individuales, así como con aspectos familiares, tales como el nivel educativo y económico de los padres. Además, incluyen elementos externos como las condiciones socioeconómicas, instit</w:t>
      </w:r>
      <w:r>
        <w:rPr>
          <w:sz w:val="20"/>
        </w:rPr>
        <w:t>ucionales y culturales. En el marco de nuestra investigación, se exploran las expectativas que surgen en una etapa específica del desarrollo: la adolescencia, un período marcado por procesos biológicos que implican decisiones importantes, como continuar es</w:t>
      </w:r>
      <w:r>
        <w:rPr>
          <w:sz w:val="20"/>
        </w:rPr>
        <w:t>tudios postsecundarios, trabajar, combinar ambas actividades o no realizar ninguna de ellas.</w:t>
      </w:r>
    </w:p>
    <w:p w:rsidR="00BB1A0F" w:rsidRDefault="00364EA7">
      <w:pPr>
        <w:pStyle w:val="NormalWeb"/>
        <w:spacing w:before="0" w:beforeAutospacing="0" w:after="0" w:afterAutospacing="0"/>
        <w:ind w:firstLine="709"/>
        <w:jc w:val="both"/>
        <w:rPr>
          <w:sz w:val="20"/>
        </w:rPr>
      </w:pPr>
      <w:r>
        <w:rPr>
          <w:sz w:val="20"/>
        </w:rPr>
        <w:t xml:space="preserve">También, </w:t>
      </w:r>
      <w:proofErr w:type="spellStart"/>
      <w:r>
        <w:rPr>
          <w:rStyle w:val="Strong"/>
          <w:b w:val="0"/>
          <w:sz w:val="20"/>
        </w:rPr>
        <w:t>Meriño</w:t>
      </w:r>
      <w:proofErr w:type="spellEnd"/>
      <w:r>
        <w:rPr>
          <w:rStyle w:val="Strong"/>
          <w:b w:val="0"/>
          <w:sz w:val="20"/>
        </w:rPr>
        <w:t xml:space="preserve"> (2020)</w:t>
      </w:r>
      <w:r>
        <w:rPr>
          <w:sz w:val="20"/>
        </w:rPr>
        <w:t xml:space="preserve"> sostiene que la </w:t>
      </w:r>
      <w:proofErr w:type="spellStart"/>
      <w:r>
        <w:rPr>
          <w:sz w:val="20"/>
        </w:rPr>
        <w:t>repitencia</w:t>
      </w:r>
      <w:proofErr w:type="spellEnd"/>
      <w:r>
        <w:rPr>
          <w:sz w:val="20"/>
        </w:rPr>
        <w:t xml:space="preserve"> escolar es un fenómeno multidimensional y uno de los tres problemas críticos que enfrenta la educación en su cami</w:t>
      </w:r>
      <w:r>
        <w:rPr>
          <w:sz w:val="20"/>
        </w:rPr>
        <w:t xml:space="preserve">no hacia la universalización. En su investigación mixta, que abarcó a 866 estudiantes y el análisis de contenido de entrevistas </w:t>
      </w:r>
      <w:proofErr w:type="spellStart"/>
      <w:r>
        <w:rPr>
          <w:sz w:val="20"/>
        </w:rPr>
        <w:t>semiestructuradas</w:t>
      </w:r>
      <w:proofErr w:type="spellEnd"/>
      <w:r>
        <w:rPr>
          <w:sz w:val="20"/>
        </w:rPr>
        <w:t xml:space="preserve"> realizado a seis docentes, concluye que el riesgo de </w:t>
      </w:r>
      <w:proofErr w:type="spellStart"/>
      <w:r>
        <w:rPr>
          <w:rStyle w:val="Strong"/>
          <w:b w:val="0"/>
          <w:sz w:val="20"/>
        </w:rPr>
        <w:t>repitencia</w:t>
      </w:r>
      <w:proofErr w:type="spellEnd"/>
      <w:r>
        <w:rPr>
          <w:b/>
          <w:sz w:val="20"/>
        </w:rPr>
        <w:t xml:space="preserve"> </w:t>
      </w:r>
      <w:r>
        <w:rPr>
          <w:sz w:val="20"/>
        </w:rPr>
        <w:t>se debe a factores sociodemográficos, académic</w:t>
      </w:r>
      <w:r>
        <w:rPr>
          <w:sz w:val="20"/>
        </w:rPr>
        <w:t xml:space="preserve">os y socioemocionales. De acuerdo con </w:t>
      </w:r>
      <w:proofErr w:type="spellStart"/>
      <w:r>
        <w:rPr>
          <w:sz w:val="20"/>
        </w:rPr>
        <w:t>Meriño</w:t>
      </w:r>
      <w:proofErr w:type="spellEnd"/>
      <w:r>
        <w:rPr>
          <w:sz w:val="20"/>
        </w:rPr>
        <w:t xml:space="preserve"> (2020), es fundamental abordar tres componentes clave: el apoyo familiar, el acompañamiento académico y la promoción de la convivencia escolar.</w:t>
      </w:r>
    </w:p>
    <w:p w:rsidR="00BB1A0F" w:rsidRDefault="00364EA7">
      <w:pPr>
        <w:pStyle w:val="NormalWeb"/>
        <w:spacing w:before="0" w:beforeAutospacing="0" w:after="0" w:afterAutospacing="0"/>
        <w:ind w:firstLine="709"/>
        <w:jc w:val="both"/>
        <w:rPr>
          <w:sz w:val="20"/>
        </w:rPr>
      </w:pPr>
      <w:r>
        <w:rPr>
          <w:rStyle w:val="Strong"/>
          <w:b w:val="0"/>
          <w:sz w:val="20"/>
        </w:rPr>
        <w:t>León</w:t>
      </w:r>
      <w:r>
        <w:rPr>
          <w:sz w:val="20"/>
        </w:rPr>
        <w:t xml:space="preserve"> y </w:t>
      </w:r>
      <w:proofErr w:type="spellStart"/>
      <w:r>
        <w:rPr>
          <w:sz w:val="20"/>
        </w:rPr>
        <w:t>Sugimaru</w:t>
      </w:r>
      <w:proofErr w:type="spellEnd"/>
      <w:r>
        <w:rPr>
          <w:sz w:val="20"/>
        </w:rPr>
        <w:t xml:space="preserve"> (2017) investigan las expectativas educativas en la</w:t>
      </w:r>
      <w:r>
        <w:rPr>
          <w:sz w:val="20"/>
        </w:rPr>
        <w:t xml:space="preserve"> selva peruana, enfocándose en los estudiantes de quinto grado de secundaria en las regiones de Amazonas, Loreto, Madre de Dios, San Martín y Ucayali. Su objetivo fue analizar las expectativas educativas de estos estudiantes y explorar los factores individ</w:t>
      </w:r>
      <w:r>
        <w:rPr>
          <w:sz w:val="20"/>
        </w:rPr>
        <w:t>uales, familiares y escolares que influyen en su formulación. Según el estudio, las expectativas educativas de los estudiantes de estas regiones son altas, y la mayoría de ellos desea continuar con estudios superiores. En relación con los factores que infl</w:t>
      </w:r>
      <w:r>
        <w:rPr>
          <w:sz w:val="20"/>
        </w:rPr>
        <w:t xml:space="preserve">uyen en estas expectativas, el </w:t>
      </w:r>
      <w:r>
        <w:rPr>
          <w:sz w:val="20"/>
        </w:rPr>
        <w:lastRenderedPageBreak/>
        <w:t xml:space="preserve">estudio de León y </w:t>
      </w:r>
      <w:proofErr w:type="spellStart"/>
      <w:r>
        <w:rPr>
          <w:sz w:val="20"/>
        </w:rPr>
        <w:t>Sugimaru</w:t>
      </w:r>
      <w:proofErr w:type="spellEnd"/>
      <w:r>
        <w:rPr>
          <w:sz w:val="20"/>
        </w:rPr>
        <w:t xml:space="preserve"> (2017) encontró que el nivel socioeconómico familiar, el trabajo adolescente, el sexo y la edad son determinantes clave en las decisiones sobre lo que harán después de la secundaria. Además, el estu</w:t>
      </w:r>
      <w:r>
        <w:rPr>
          <w:sz w:val="20"/>
        </w:rPr>
        <w:t xml:space="preserve">dio destaca que el número elevado de estudiantes en las aulas y la experiencia de </w:t>
      </w:r>
      <w:proofErr w:type="spellStart"/>
      <w:r>
        <w:rPr>
          <w:sz w:val="20"/>
        </w:rPr>
        <w:t>bullying</w:t>
      </w:r>
      <w:proofErr w:type="spellEnd"/>
      <w:r>
        <w:rPr>
          <w:sz w:val="20"/>
        </w:rPr>
        <w:t xml:space="preserve"> tienen un impacto negativo en la formulación de expectativas de educación superior. Por último, se identificó un efecto directo de las variables relacionadas con el </w:t>
      </w:r>
      <w:r>
        <w:rPr>
          <w:sz w:val="20"/>
        </w:rPr>
        <w:t>rendimiento académico y los recursos audiovisuales disponibles en las instituciones educativas sobre las expectativas de los estudiantes de acceder a la educación superior universitaria.</w:t>
      </w:r>
    </w:p>
    <w:p w:rsidR="00BB1A0F" w:rsidRDefault="00364EA7">
      <w:pPr>
        <w:pStyle w:val="NormalWeb"/>
        <w:spacing w:before="0" w:beforeAutospacing="0" w:after="0" w:afterAutospacing="0"/>
        <w:ind w:firstLine="709"/>
        <w:jc w:val="both"/>
        <w:rPr>
          <w:sz w:val="20"/>
        </w:rPr>
      </w:pPr>
      <w:r>
        <w:rPr>
          <w:sz w:val="20"/>
        </w:rPr>
        <w:t>Investigan la teoría de objetivos del logro para comprender el conjun</w:t>
      </w:r>
      <w:r>
        <w:rPr>
          <w:sz w:val="20"/>
        </w:rPr>
        <w:t>to de factores, como pensamientos, creencias, motivaciones, propósitos y emociones, que impulsan el desarrollo de los aprendizajes de los estudiantes y, como consecuencia, traducen sus acciones en resultados. En este contexto, el objetivo de su investigaci</w:t>
      </w:r>
      <w:r>
        <w:rPr>
          <w:sz w:val="20"/>
        </w:rPr>
        <w:t xml:space="preserve">ón fue explorar las expectativas, percepciones y motivaciones de los estudiantes de una escuela secundaria pública en el interior de São Paulo. Según los hallazgos de </w:t>
      </w:r>
      <w:proofErr w:type="spellStart"/>
      <w:r>
        <w:rPr>
          <w:sz w:val="20"/>
        </w:rPr>
        <w:t>Dendasck</w:t>
      </w:r>
      <w:proofErr w:type="spellEnd"/>
      <w:r>
        <w:rPr>
          <w:sz w:val="20"/>
        </w:rPr>
        <w:t xml:space="preserve"> et al. (2020), la separación de los padres puede ser un factor problemático para</w:t>
      </w:r>
      <w:r>
        <w:rPr>
          <w:sz w:val="20"/>
        </w:rPr>
        <w:t xml:space="preserve"> la vida estudiantil, al igual que la falta de alfabetización y educación formal, lo que dificulta el acceso a la educación superior y la consecución de metas de vida personal. Además, destacan que una gran proporción de los estudiantes no comprende el pro</w:t>
      </w:r>
      <w:r>
        <w:rPr>
          <w:sz w:val="20"/>
        </w:rPr>
        <w:t>pósito real de asistir a la escuela, lo cual es una situación preocupante en jóvenes que están próximos a convertirse en ciudadanos.</w:t>
      </w:r>
    </w:p>
    <w:p w:rsidR="00BB1A0F" w:rsidRDefault="00364EA7">
      <w:pPr>
        <w:pStyle w:val="NormalWeb"/>
        <w:spacing w:before="0" w:beforeAutospacing="0" w:after="0" w:afterAutospacing="0"/>
        <w:ind w:firstLine="709"/>
        <w:jc w:val="both"/>
        <w:rPr>
          <w:sz w:val="20"/>
        </w:rPr>
      </w:pPr>
      <w:proofErr w:type="spellStart"/>
      <w:r>
        <w:rPr>
          <w:rStyle w:val="Strong"/>
          <w:b w:val="0"/>
          <w:sz w:val="20"/>
        </w:rPr>
        <w:t>Corica</w:t>
      </w:r>
      <w:proofErr w:type="spellEnd"/>
      <w:r>
        <w:rPr>
          <w:rStyle w:val="Strong"/>
          <w:b w:val="0"/>
          <w:sz w:val="20"/>
        </w:rPr>
        <w:t xml:space="preserve"> (2012)</w:t>
      </w:r>
      <w:r>
        <w:rPr>
          <w:sz w:val="20"/>
        </w:rPr>
        <w:t xml:space="preserve"> investigó las expectativas sobre el futuro educativo y laboral de los jóvenes de la escuela secundaria, explo</w:t>
      </w:r>
      <w:r>
        <w:rPr>
          <w:sz w:val="20"/>
        </w:rPr>
        <w:t xml:space="preserve">rando la brecha entre lo posible y lo deseable para los estudiantes de distintos sectores sociales en cuatro jurisdicciones de Argentina (Ciudad y Provincia de Buenos Aires, Salta y Neuquén). Según </w:t>
      </w:r>
      <w:proofErr w:type="spellStart"/>
      <w:r>
        <w:rPr>
          <w:sz w:val="20"/>
        </w:rPr>
        <w:t>Corica</w:t>
      </w:r>
      <w:proofErr w:type="spellEnd"/>
      <w:r>
        <w:rPr>
          <w:sz w:val="20"/>
        </w:rPr>
        <w:t xml:space="preserve"> (2012), los datos analizados se centraron en la int</w:t>
      </w:r>
      <w:r>
        <w:rPr>
          <w:sz w:val="20"/>
        </w:rPr>
        <w:t>ersección entre desigualdad y educación media en estas cuatro regiones, donde existe una dinámica de producción y reproducción de la desigualdad escolar y social. El estudio concluyó que hay una diferencia significativa entre las expectativas y las posibil</w:t>
      </w:r>
      <w:r>
        <w:rPr>
          <w:sz w:val="20"/>
        </w:rPr>
        <w:t>idades futuras de los estudiantes, lo que varía según el contexto geográfico y el apoyo familiar disponible.</w:t>
      </w:r>
    </w:p>
    <w:p w:rsidR="00BB1A0F" w:rsidRDefault="00364EA7">
      <w:pPr>
        <w:pStyle w:val="NormalWeb"/>
        <w:spacing w:before="0" w:beforeAutospacing="0" w:after="0" w:afterAutospacing="0"/>
        <w:ind w:firstLine="709"/>
        <w:jc w:val="both"/>
        <w:rPr>
          <w:sz w:val="20"/>
        </w:rPr>
      </w:pPr>
      <w:r>
        <w:rPr>
          <w:sz w:val="20"/>
        </w:rPr>
        <w:t xml:space="preserve">También, en la investigación de </w:t>
      </w:r>
      <w:r>
        <w:rPr>
          <w:rStyle w:val="Strong"/>
          <w:b w:val="0"/>
          <w:sz w:val="20"/>
        </w:rPr>
        <w:t>Mero (2023)</w:t>
      </w:r>
      <w:r>
        <w:rPr>
          <w:sz w:val="20"/>
        </w:rPr>
        <w:t xml:space="preserve">, se indagó sobre la motivación docente como factor para la transformación educativa y su impacto en el </w:t>
      </w:r>
      <w:r>
        <w:rPr>
          <w:sz w:val="20"/>
        </w:rPr>
        <w:t>comportamiento de los estudiantes. Destacó que los docentes tienen la capacidad de influir en el estado de ánimo de los alumnos, creando un entorno atractivo que favorece el aprendizaje. El estudio se centró en evaluar la motivación dentro del proceso de e</w:t>
      </w:r>
      <w:r>
        <w:rPr>
          <w:sz w:val="20"/>
        </w:rPr>
        <w:t>nseñanza-aprendizaje, concluyendo que la motivación es clave para el progreso académico. Además, ayuda a los docentes a desarrollar habilidades y destrezas que mejoran los procedimientos pedagógicos y favorecen el rendimiento estudiantil. También se resalt</w:t>
      </w:r>
      <w:r>
        <w:rPr>
          <w:sz w:val="20"/>
        </w:rPr>
        <w:t>ó la importancia del apoyo familiar en el avance de los estudiantes.</w:t>
      </w:r>
    </w:p>
    <w:p w:rsidR="00BB1A0F" w:rsidRDefault="00364EA7">
      <w:pPr>
        <w:pStyle w:val="NormalWeb"/>
        <w:spacing w:before="0" w:beforeAutospacing="0" w:after="0" w:afterAutospacing="0"/>
        <w:ind w:firstLine="709"/>
        <w:jc w:val="both"/>
        <w:rPr>
          <w:sz w:val="20"/>
        </w:rPr>
      </w:pPr>
      <w:r>
        <w:rPr>
          <w:sz w:val="20"/>
        </w:rPr>
        <w:t xml:space="preserve">Por otro lado, </w:t>
      </w:r>
      <w:proofErr w:type="spellStart"/>
      <w:r>
        <w:rPr>
          <w:rStyle w:val="Strong"/>
          <w:b w:val="0"/>
          <w:sz w:val="20"/>
        </w:rPr>
        <w:t>Cansaya</w:t>
      </w:r>
      <w:proofErr w:type="spellEnd"/>
      <w:r>
        <w:rPr>
          <w:rStyle w:val="Strong"/>
          <w:b w:val="0"/>
          <w:sz w:val="20"/>
        </w:rPr>
        <w:t xml:space="preserve"> et al. (2023)</w:t>
      </w:r>
      <w:r>
        <w:rPr>
          <w:sz w:val="20"/>
        </w:rPr>
        <w:t xml:space="preserve"> analizaron el papel fundamental de la participación familiar en el desarrollo del aprendizaje de los estudiantes. Su investigación evidencia que la co</w:t>
      </w:r>
      <w:r>
        <w:rPr>
          <w:sz w:val="20"/>
        </w:rPr>
        <w:t xml:space="preserve">laboración activa de las familias es intrínseca al proceso educativo. Por su parte, </w:t>
      </w:r>
      <w:r>
        <w:rPr>
          <w:rStyle w:val="Strong"/>
          <w:b w:val="0"/>
          <w:sz w:val="20"/>
        </w:rPr>
        <w:t>Pérez (2015)</w:t>
      </w:r>
      <w:r>
        <w:rPr>
          <w:sz w:val="20"/>
        </w:rPr>
        <w:t xml:space="preserve"> estudió las expectativas, satisfacción y rendimiento académico en los estudiantes. El objetivo fue evaluar cómo las expectativas de los estudiantes influyeron </w:t>
      </w:r>
      <w:r>
        <w:rPr>
          <w:sz w:val="20"/>
        </w:rPr>
        <w:t>en su satisfacción y rendimiento académico. A lo largo del curso, los estudiantes completaron un cuestionario de expectativas y, al final de la asignatura, rellenaron una escala sobre el cumplimiento de esas expectativas. Los resultados mostraron que el cu</w:t>
      </w:r>
      <w:r>
        <w:rPr>
          <w:sz w:val="20"/>
        </w:rPr>
        <w:t>mplimiento de las expectativas representó el 36% de la varianza explicada en la satisfacción y el 12% en el rendimiento académico de los estudiantes. Concluyó que existe una relación significativa entre el cumplimiento de expectativas y el rendimiento acad</w:t>
      </w:r>
      <w:r>
        <w:rPr>
          <w:sz w:val="20"/>
        </w:rPr>
        <w:t>émico, así como la satisfacción con la asignatura.</w:t>
      </w:r>
    </w:p>
    <w:p w:rsidR="00BB1A0F" w:rsidRDefault="00364EA7">
      <w:pPr>
        <w:pStyle w:val="NormalWeb"/>
        <w:spacing w:before="0" w:beforeAutospacing="0" w:after="0" w:afterAutospacing="0"/>
        <w:ind w:firstLine="709"/>
        <w:jc w:val="both"/>
        <w:rPr>
          <w:sz w:val="20"/>
        </w:rPr>
      </w:pPr>
      <w:r>
        <w:rPr>
          <w:sz w:val="20"/>
        </w:rPr>
        <w:t xml:space="preserve">Según </w:t>
      </w:r>
      <w:r>
        <w:rPr>
          <w:rStyle w:val="Strong"/>
          <w:b w:val="0"/>
          <w:sz w:val="20"/>
        </w:rPr>
        <w:t>Pizarro et al. (2013)</w:t>
      </w:r>
      <w:r>
        <w:rPr>
          <w:sz w:val="20"/>
        </w:rPr>
        <w:t>, el contexto educativo juega un papel crucial, ya que, si es favorable, puede tener un impacto significativo en la educación. A partir de este análisis, se destacan los procesos</w:t>
      </w:r>
      <w:r>
        <w:rPr>
          <w:sz w:val="20"/>
        </w:rPr>
        <w:t xml:space="preserve"> de participación parental como una estrategia clave para mejorar los aprendizajes, el clima escolar y, en general, la calidad educativa. En línea con esto, la Agencia de la Calidad de la Educación (2018) afirma que las expectativas de los estudiantes, pad</w:t>
      </w:r>
      <w:r>
        <w:rPr>
          <w:sz w:val="20"/>
        </w:rPr>
        <w:t xml:space="preserve">res y docentes están vinculadas a los resultados académicos de los estudiantes. En su análisis de </w:t>
      </w:r>
      <w:r>
        <w:rPr>
          <w:rStyle w:val="Strong"/>
          <w:b w:val="0"/>
          <w:sz w:val="20"/>
        </w:rPr>
        <w:t>Factores Asociados 2018</w:t>
      </w:r>
      <w:r>
        <w:rPr>
          <w:sz w:val="20"/>
        </w:rPr>
        <w:t xml:space="preserve">, se presentó que los estudiantes de segundo medio que esperaban continuar con estudios terciarios, ya sean técnicos o universitarios, </w:t>
      </w:r>
      <w:r>
        <w:rPr>
          <w:sz w:val="20"/>
        </w:rPr>
        <w:t xml:space="preserve">obtenían en promedio 8 puntos más en la prueba </w:t>
      </w:r>
      <w:proofErr w:type="spellStart"/>
      <w:r>
        <w:rPr>
          <w:sz w:val="20"/>
        </w:rPr>
        <w:t>Simce</w:t>
      </w:r>
      <w:proofErr w:type="spellEnd"/>
      <w:r>
        <w:rPr>
          <w:sz w:val="20"/>
        </w:rPr>
        <w:t xml:space="preserve"> de Matemática y 7 puntos más en Lectura, en comparación con aquellos que no tenían estas expectativas, controlando otras variables. De manera similar, cuando los profesores indicaban que la mayoría del c</w:t>
      </w:r>
      <w:r>
        <w:rPr>
          <w:sz w:val="20"/>
        </w:rPr>
        <w:t>urso alcanzaría estudios terciarios, se observaba que los estudiantes lograban, en promedio, 4 puntos más en Matemática y 3 puntos más en Lectura, al controlar otras variables. Igualmente, cuando los padres de los estudiantes de segundo medio mantenían alt</w:t>
      </w:r>
      <w:r>
        <w:rPr>
          <w:sz w:val="20"/>
        </w:rPr>
        <w:t>as expectativas sobre su futuro educativo, estos estudiantes obtenían en promedio 3 puntos adicionales en Matemática y 4 puntos más en Lectura. Estos resultados corroboran que las expectativas sobre el estudio influyen en el rendimiento de los estudiantes.</w:t>
      </w:r>
    </w:p>
    <w:p w:rsidR="00BB1A0F" w:rsidRDefault="00364EA7">
      <w:pPr>
        <w:pStyle w:val="NormalWeb"/>
        <w:spacing w:before="0" w:beforeAutospacing="0" w:after="0" w:afterAutospacing="0"/>
        <w:ind w:firstLine="709"/>
        <w:jc w:val="both"/>
        <w:rPr>
          <w:sz w:val="20"/>
        </w:rPr>
      </w:pPr>
      <w:r>
        <w:rPr>
          <w:sz w:val="20"/>
        </w:rPr>
        <w:t xml:space="preserve">Por lo tanto, el propósito de esta investigación es detallar las expectativas académicas de los estudiantes de secundaria de la </w:t>
      </w:r>
      <w:r>
        <w:rPr>
          <w:rStyle w:val="Strong"/>
          <w:b w:val="0"/>
          <w:sz w:val="20"/>
        </w:rPr>
        <w:t>institución educativa 132 Toribio de Luzuriaga y Mejía</w:t>
      </w:r>
      <w:r>
        <w:rPr>
          <w:sz w:val="20"/>
        </w:rPr>
        <w:t>, ubicada en el distrito de San Juan de Lurigancho, el más poblado de Lim</w:t>
      </w:r>
      <w:r>
        <w:rPr>
          <w:sz w:val="20"/>
        </w:rPr>
        <w:t>a y de todo Perú.</w:t>
      </w:r>
    </w:p>
    <w:p w:rsidR="00BB1A0F" w:rsidRDefault="00BB1A0F">
      <w:pPr>
        <w:pStyle w:val="NormalWeb"/>
        <w:spacing w:before="0" w:beforeAutospacing="0" w:after="0" w:afterAutospacing="0"/>
        <w:jc w:val="both"/>
      </w:pPr>
    </w:p>
    <w:p w:rsidR="00BB1A0F" w:rsidRDefault="00364EA7">
      <w:pPr>
        <w:pStyle w:val="NormalWeb"/>
        <w:spacing w:before="0" w:beforeAutospacing="0" w:after="0" w:afterAutospacing="0"/>
        <w:jc w:val="both"/>
        <w:rPr>
          <w:sz w:val="20"/>
          <w:szCs w:val="20"/>
        </w:rPr>
      </w:pPr>
      <w:r>
        <w:rPr>
          <w:b/>
          <w:sz w:val="22"/>
          <w:szCs w:val="20"/>
        </w:rPr>
        <w:t>METODOLOGÍA</w:t>
      </w:r>
    </w:p>
    <w:p w:rsidR="00BB1A0F" w:rsidRDefault="00364EA7">
      <w:pPr>
        <w:pStyle w:val="NormalWeb"/>
        <w:spacing w:before="0" w:beforeAutospacing="0" w:after="0" w:afterAutospacing="0"/>
        <w:ind w:firstLine="709"/>
        <w:jc w:val="both"/>
        <w:rPr>
          <w:sz w:val="20"/>
        </w:rPr>
      </w:pPr>
      <w:r>
        <w:rPr>
          <w:sz w:val="20"/>
        </w:rPr>
        <w:t xml:space="preserve">La investigación se sostiene en el </w:t>
      </w:r>
      <w:r>
        <w:rPr>
          <w:rStyle w:val="Strong"/>
          <w:b w:val="0"/>
          <w:sz w:val="20"/>
        </w:rPr>
        <w:t>método cuantitativo descriptivo</w:t>
      </w:r>
      <w:r>
        <w:rPr>
          <w:sz w:val="20"/>
        </w:rPr>
        <w:t xml:space="preserve"> de Martínez (2011). Para el caso, se buscó recolectar datos en la </w:t>
      </w:r>
      <w:r>
        <w:rPr>
          <w:rStyle w:val="Strong"/>
          <w:b w:val="0"/>
          <w:sz w:val="20"/>
        </w:rPr>
        <w:t>IE</w:t>
      </w:r>
      <w:r>
        <w:rPr>
          <w:sz w:val="20"/>
        </w:rPr>
        <w:t xml:space="preserve"> 132 Toribio de Luzuriaga y Mejía </w:t>
      </w:r>
      <w:r>
        <w:rPr>
          <w:rStyle w:val="Strong"/>
          <w:sz w:val="20"/>
        </w:rPr>
        <w:t>y se</w:t>
      </w:r>
      <w:r>
        <w:rPr>
          <w:sz w:val="20"/>
        </w:rPr>
        <w:t xml:space="preserve"> consideraron los aspectos necesarios para cubrir completamente el estudio propuesto y las dimensiones relevantes que permitirían obtener los resultados esperados. Las investigaciones de carácter descriptivo tienen como objetivo profundizar en un tema; por</w:t>
      </w:r>
      <w:r>
        <w:rPr>
          <w:sz w:val="20"/>
        </w:rPr>
        <w:t xml:space="preserve"> lo que su propósito es describir y analizar las distintas características y propiedades del fenómeno en cuestión </w:t>
      </w:r>
      <w:r>
        <w:rPr>
          <w:rStyle w:val="Strong"/>
          <w:b w:val="0"/>
          <w:sz w:val="20"/>
        </w:rPr>
        <w:t>(Jiménez, 1998)</w:t>
      </w:r>
      <w:r>
        <w:rPr>
          <w:sz w:val="20"/>
        </w:rPr>
        <w:t>. Se recogió la información de los estudiantes que voluntariamente respondieron. El análisis se realizó a través del software S</w:t>
      </w:r>
      <w:r>
        <w:rPr>
          <w:sz w:val="20"/>
        </w:rPr>
        <w:t>PSS.</w:t>
      </w:r>
    </w:p>
    <w:p w:rsidR="00BB1A0F" w:rsidRDefault="00364EA7">
      <w:pPr>
        <w:pStyle w:val="NormalWeb"/>
        <w:spacing w:before="0" w:beforeAutospacing="0" w:after="0" w:afterAutospacing="0"/>
        <w:ind w:firstLine="709"/>
        <w:jc w:val="both"/>
        <w:rPr>
          <w:b/>
          <w:sz w:val="20"/>
        </w:rPr>
      </w:pPr>
      <w:r>
        <w:rPr>
          <w:sz w:val="20"/>
        </w:rPr>
        <w:t xml:space="preserve">El test utilizado fue el propuesto por la </w:t>
      </w:r>
      <w:r>
        <w:rPr>
          <w:rStyle w:val="Strong"/>
          <w:b w:val="0"/>
          <w:sz w:val="20"/>
        </w:rPr>
        <w:t>UGEL</w:t>
      </w:r>
      <w:r>
        <w:rPr>
          <w:sz w:val="20"/>
        </w:rPr>
        <w:t xml:space="preserve"> 05, San Juan de Lurigancho. Se tabuló la información de </w:t>
      </w:r>
      <w:r>
        <w:rPr>
          <w:rStyle w:val="Strong"/>
          <w:b w:val="0"/>
          <w:sz w:val="20"/>
        </w:rPr>
        <w:t>los siguientes</w:t>
      </w:r>
      <w:r>
        <w:rPr>
          <w:rStyle w:val="Strong"/>
          <w:sz w:val="20"/>
        </w:rPr>
        <w:t xml:space="preserve"> </w:t>
      </w:r>
      <w:r>
        <w:rPr>
          <w:rStyle w:val="Strong"/>
          <w:b w:val="0"/>
          <w:sz w:val="20"/>
        </w:rPr>
        <w:t>tres ítems</w:t>
      </w:r>
      <w:r>
        <w:rPr>
          <w:sz w:val="20"/>
        </w:rPr>
        <w:t>: “Creo que lo que aprendo en la escuela no tiene utilidad para mi futuro, no me siento impulsado por mis profesores y mi f</w:t>
      </w:r>
      <w:r>
        <w:rPr>
          <w:sz w:val="20"/>
        </w:rPr>
        <w:t xml:space="preserve">amilia no considera que la educación sea relevante.” </w:t>
      </w:r>
      <w:r>
        <w:rPr>
          <w:rStyle w:val="Strong"/>
          <w:b w:val="0"/>
          <w:sz w:val="20"/>
        </w:rPr>
        <w:t xml:space="preserve">Estas preguntas corresponden a un test de diagnóstico socioemocional del </w:t>
      </w:r>
      <w:proofErr w:type="spellStart"/>
      <w:r>
        <w:rPr>
          <w:rStyle w:val="Strong"/>
          <w:b w:val="0"/>
          <w:sz w:val="20"/>
        </w:rPr>
        <w:t>Minedu</w:t>
      </w:r>
      <w:proofErr w:type="spellEnd"/>
      <w:r>
        <w:rPr>
          <w:rStyle w:val="Strong"/>
          <w:b w:val="0"/>
          <w:sz w:val="20"/>
        </w:rPr>
        <w:t xml:space="preserve"> (2024) de la UGEL 05, de San Juan de Lurigancho; las cuales sirven para anticipar las posibles dificultades que pudiera est</w:t>
      </w:r>
      <w:r>
        <w:rPr>
          <w:rStyle w:val="Strong"/>
          <w:b w:val="0"/>
          <w:sz w:val="20"/>
        </w:rPr>
        <w:t>ar atravesando el estudiante.</w:t>
      </w:r>
    </w:p>
    <w:p w:rsidR="00BB1A0F" w:rsidRDefault="00364EA7">
      <w:pPr>
        <w:pStyle w:val="NormalWeb"/>
        <w:spacing w:before="0" w:beforeAutospacing="0" w:after="0" w:afterAutospacing="0"/>
        <w:ind w:firstLine="709"/>
        <w:jc w:val="both"/>
        <w:rPr>
          <w:sz w:val="20"/>
        </w:rPr>
      </w:pPr>
      <w:r>
        <w:rPr>
          <w:sz w:val="20"/>
        </w:rPr>
        <w:t xml:space="preserve">La respuesta al test fue voluntaria. Participaron 474 alumnos de </w:t>
      </w:r>
      <w:r>
        <w:rPr>
          <w:rStyle w:val="Strong"/>
          <w:b w:val="0"/>
          <w:sz w:val="20"/>
        </w:rPr>
        <w:t>primer, segundo, tercero, cuarto y quinto</w:t>
      </w:r>
      <w:r>
        <w:rPr>
          <w:sz w:val="20"/>
        </w:rPr>
        <w:t xml:space="preserve"> de secundaria de una población de </w:t>
      </w:r>
      <w:r>
        <w:rPr>
          <w:rStyle w:val="Strong"/>
          <w:b w:val="0"/>
          <w:sz w:val="20"/>
        </w:rPr>
        <w:t>2,100</w:t>
      </w:r>
      <w:r>
        <w:rPr>
          <w:sz w:val="20"/>
        </w:rPr>
        <w:t xml:space="preserve"> estudiantes. Dada </w:t>
      </w:r>
      <w:r>
        <w:rPr>
          <w:rStyle w:val="Strong"/>
          <w:b w:val="0"/>
          <w:sz w:val="20"/>
        </w:rPr>
        <w:t>la</w:t>
      </w:r>
      <w:r>
        <w:rPr>
          <w:sz w:val="20"/>
        </w:rPr>
        <w:t xml:space="preserve"> respuesta voluntaria, en algunos casos intervinieron los p</w:t>
      </w:r>
      <w:r>
        <w:rPr>
          <w:sz w:val="20"/>
        </w:rPr>
        <w:t xml:space="preserve">adres de familia, especialmente </w:t>
      </w:r>
      <w:r>
        <w:rPr>
          <w:rStyle w:val="Strong"/>
          <w:b w:val="0"/>
          <w:sz w:val="20"/>
        </w:rPr>
        <w:t>en</w:t>
      </w:r>
      <w:r>
        <w:rPr>
          <w:sz w:val="20"/>
        </w:rPr>
        <w:t xml:space="preserve"> los de primer año de secundaria, reforzando la respuesta de sus hijos, </w:t>
      </w:r>
      <w:r>
        <w:rPr>
          <w:rStyle w:val="Strong"/>
          <w:b w:val="0"/>
          <w:sz w:val="20"/>
        </w:rPr>
        <w:t>situación que, probablemente, ya ha influido</w:t>
      </w:r>
      <w:r>
        <w:rPr>
          <w:b/>
          <w:sz w:val="20"/>
        </w:rPr>
        <w:t xml:space="preserve"> </w:t>
      </w:r>
      <w:r>
        <w:rPr>
          <w:sz w:val="20"/>
        </w:rPr>
        <w:t>en el porcentaje de las respuestas.</w:t>
      </w:r>
    </w:p>
    <w:p w:rsidR="00BB1A0F" w:rsidRDefault="00364EA7">
      <w:pPr>
        <w:pStyle w:val="NormalWeb"/>
        <w:spacing w:before="0" w:beforeAutospacing="0" w:after="0" w:afterAutospacing="0"/>
        <w:ind w:firstLine="709"/>
        <w:jc w:val="both"/>
        <w:rPr>
          <w:sz w:val="20"/>
        </w:rPr>
      </w:pPr>
      <w:r>
        <w:rPr>
          <w:sz w:val="20"/>
        </w:rPr>
        <w:t xml:space="preserve">En principio, los materiales corresponden a la propuesta </w:t>
      </w:r>
      <w:r>
        <w:rPr>
          <w:rStyle w:val="Strong"/>
          <w:b w:val="0"/>
          <w:sz w:val="20"/>
        </w:rPr>
        <w:t>del</w:t>
      </w:r>
      <w:r>
        <w:rPr>
          <w:sz w:val="20"/>
        </w:rPr>
        <w:t xml:space="preserve"> sector tutoría de la UGEL 05, Ministerio de Educación del Perú. Una vez </w:t>
      </w:r>
      <w:r>
        <w:rPr>
          <w:rStyle w:val="Strong"/>
          <w:b w:val="0"/>
          <w:sz w:val="20"/>
        </w:rPr>
        <w:t>tabulados</w:t>
      </w:r>
      <w:r>
        <w:rPr>
          <w:sz w:val="20"/>
        </w:rPr>
        <w:t xml:space="preserve"> los datos, se sometió al software SPSS para </w:t>
      </w:r>
      <w:r>
        <w:rPr>
          <w:rStyle w:val="Strong"/>
          <w:b w:val="0"/>
          <w:sz w:val="20"/>
        </w:rPr>
        <w:t>diferenciar</w:t>
      </w:r>
      <w:r>
        <w:rPr>
          <w:b/>
          <w:sz w:val="20"/>
        </w:rPr>
        <w:t xml:space="preserve"> </w:t>
      </w:r>
      <w:r>
        <w:rPr>
          <w:sz w:val="20"/>
        </w:rPr>
        <w:t>la valoración en las respuestas de los estudiantes.</w:t>
      </w:r>
    </w:p>
    <w:p w:rsidR="00BB1A0F" w:rsidRDefault="00BB1A0F">
      <w:pPr>
        <w:pStyle w:val="NormalWeb"/>
        <w:spacing w:before="0" w:beforeAutospacing="0" w:after="0" w:afterAutospacing="0"/>
        <w:jc w:val="both"/>
        <w:rPr>
          <w:b/>
          <w:sz w:val="22"/>
          <w:szCs w:val="20"/>
        </w:rPr>
      </w:pPr>
    </w:p>
    <w:p w:rsidR="00BB1A0F" w:rsidRDefault="00364EA7">
      <w:pPr>
        <w:pStyle w:val="NormalWeb"/>
        <w:spacing w:before="0" w:beforeAutospacing="0" w:after="0" w:afterAutospacing="0"/>
        <w:jc w:val="both"/>
        <w:rPr>
          <w:b/>
          <w:sz w:val="22"/>
          <w:szCs w:val="20"/>
        </w:rPr>
      </w:pPr>
      <w:r>
        <w:rPr>
          <w:b/>
          <w:sz w:val="22"/>
          <w:szCs w:val="20"/>
        </w:rPr>
        <w:t>RESULTADOS Y DISCUSIÓN</w:t>
      </w:r>
    </w:p>
    <w:p w:rsidR="00BB1A0F" w:rsidRDefault="00364EA7">
      <w:pPr>
        <w:spacing w:after="0" w:line="240" w:lineRule="auto"/>
        <w:jc w:val="both"/>
        <w:rPr>
          <w:rFonts w:ascii="Times New Roman" w:hAnsi="Times New Roman" w:cs="Times New Roman"/>
          <w:b/>
          <w:sz w:val="20"/>
          <w:szCs w:val="20"/>
          <w:lang w:val="es-ES"/>
        </w:rPr>
      </w:pPr>
      <w:r>
        <w:rPr>
          <w:rFonts w:ascii="Times New Roman" w:hAnsi="Times New Roman" w:cs="Times New Roman"/>
          <w:b/>
          <w:sz w:val="20"/>
          <w:szCs w:val="20"/>
        </w:rPr>
        <w:t>Tabla</w:t>
      </w:r>
      <w:r>
        <w:rPr>
          <w:rFonts w:ascii="Times New Roman" w:hAnsi="Times New Roman" w:cs="Times New Roman"/>
          <w:b/>
          <w:spacing w:val="-7"/>
          <w:sz w:val="20"/>
          <w:szCs w:val="20"/>
        </w:rPr>
        <w:t xml:space="preserve"> </w:t>
      </w:r>
      <w:r>
        <w:rPr>
          <w:rFonts w:ascii="Times New Roman" w:hAnsi="Times New Roman" w:cs="Times New Roman"/>
          <w:b/>
          <w:spacing w:val="-10"/>
          <w:sz w:val="20"/>
          <w:szCs w:val="20"/>
        </w:rPr>
        <w:t>1</w:t>
      </w:r>
    </w:p>
    <w:p w:rsidR="00BB1A0F" w:rsidRDefault="00364EA7">
      <w:pPr>
        <w:pStyle w:val="Heading2"/>
        <w:jc w:val="both"/>
        <w:rPr>
          <w:rFonts w:ascii="Times New Roman" w:hAnsi="Times New Roman" w:cs="Times New Roman"/>
          <w:b w:val="0"/>
          <w:i/>
          <w:sz w:val="20"/>
          <w:szCs w:val="20"/>
        </w:rPr>
      </w:pPr>
      <w:r>
        <w:rPr>
          <w:rFonts w:ascii="Times New Roman" w:hAnsi="Times New Roman" w:cs="Times New Roman"/>
          <w:b w:val="0"/>
          <w:i/>
          <w:sz w:val="20"/>
          <w:szCs w:val="20"/>
        </w:rPr>
        <w:t>Grupo</w:t>
      </w:r>
      <w:r>
        <w:rPr>
          <w:rFonts w:ascii="Times New Roman" w:hAnsi="Times New Roman" w:cs="Times New Roman"/>
          <w:b w:val="0"/>
          <w:i/>
          <w:spacing w:val="-10"/>
          <w:sz w:val="20"/>
          <w:szCs w:val="20"/>
        </w:rPr>
        <w:t xml:space="preserve"> </w:t>
      </w:r>
      <w:r>
        <w:rPr>
          <w:rFonts w:ascii="Times New Roman" w:hAnsi="Times New Roman" w:cs="Times New Roman"/>
          <w:b w:val="0"/>
          <w:i/>
          <w:sz w:val="20"/>
          <w:szCs w:val="20"/>
        </w:rPr>
        <w:t>de</w:t>
      </w:r>
      <w:r>
        <w:rPr>
          <w:rFonts w:ascii="Times New Roman" w:hAnsi="Times New Roman" w:cs="Times New Roman"/>
          <w:b w:val="0"/>
          <w:i/>
          <w:spacing w:val="-10"/>
          <w:sz w:val="20"/>
          <w:szCs w:val="20"/>
        </w:rPr>
        <w:t xml:space="preserve"> </w:t>
      </w:r>
      <w:r>
        <w:rPr>
          <w:rFonts w:ascii="Times New Roman" w:hAnsi="Times New Roman" w:cs="Times New Roman"/>
          <w:b w:val="0"/>
          <w:i/>
          <w:sz w:val="20"/>
          <w:szCs w:val="20"/>
        </w:rPr>
        <w:t>estudiantes</w:t>
      </w:r>
      <w:r>
        <w:rPr>
          <w:rFonts w:ascii="Times New Roman" w:hAnsi="Times New Roman" w:cs="Times New Roman"/>
          <w:b w:val="0"/>
          <w:i/>
          <w:spacing w:val="-5"/>
          <w:sz w:val="20"/>
          <w:szCs w:val="20"/>
        </w:rPr>
        <w:t xml:space="preserve"> </w:t>
      </w:r>
      <w:r>
        <w:rPr>
          <w:rFonts w:ascii="Times New Roman" w:hAnsi="Times New Roman" w:cs="Times New Roman"/>
          <w:b w:val="0"/>
          <w:i/>
          <w:spacing w:val="-2"/>
          <w:sz w:val="20"/>
          <w:szCs w:val="20"/>
        </w:rPr>
        <w:t>participante</w:t>
      </w:r>
      <w:r>
        <w:rPr>
          <w:rFonts w:ascii="Times New Roman" w:hAnsi="Times New Roman" w:cs="Times New Roman"/>
          <w:b w:val="0"/>
          <w:i/>
          <w:spacing w:val="-2"/>
          <w:sz w:val="20"/>
          <w:szCs w:val="20"/>
        </w:rPr>
        <w:t>s</w:t>
      </w:r>
    </w:p>
    <w:tbl>
      <w:tblPr>
        <w:tblStyle w:val="TableNormal1"/>
        <w:tblW w:w="5000" w:type="pct"/>
        <w:tblInd w:w="0" w:type="dxa"/>
        <w:tblBorders>
          <w:top w:val="single" w:sz="4" w:space="0" w:color="auto"/>
          <w:bottom w:val="single" w:sz="4" w:space="0" w:color="auto"/>
        </w:tblBorders>
        <w:tblLook w:val="01E0" w:firstRow="1" w:lastRow="1" w:firstColumn="1" w:lastColumn="1" w:noHBand="0" w:noVBand="0"/>
      </w:tblPr>
      <w:tblGrid>
        <w:gridCol w:w="4028"/>
        <w:gridCol w:w="3679"/>
        <w:gridCol w:w="2373"/>
      </w:tblGrid>
      <w:tr w:rsidR="00BB1A0F">
        <w:trPr>
          <w:trHeight w:val="262"/>
        </w:trPr>
        <w:tc>
          <w:tcPr>
            <w:tcW w:w="1998" w:type="pct"/>
            <w:tcBorders>
              <w:bottom w:val="single" w:sz="4" w:space="0" w:color="auto"/>
            </w:tcBorders>
            <w:vAlign w:val="center"/>
          </w:tcPr>
          <w:p w:rsidR="00BB1A0F" w:rsidRDefault="00364EA7">
            <w:pPr>
              <w:pStyle w:val="TableParagraph"/>
              <w:spacing w:before="0"/>
              <w:ind w:left="50"/>
              <w:jc w:val="center"/>
              <w:rPr>
                <w:rFonts w:ascii="Times New Roman" w:hAnsi="Times New Roman" w:cs="Times New Roman"/>
                <w:b/>
                <w:spacing w:val="-2"/>
              </w:rPr>
            </w:pPr>
            <w:r>
              <w:rPr>
                <w:rFonts w:ascii="Times New Roman" w:hAnsi="Times New Roman" w:cs="Times New Roman"/>
                <w:b/>
                <w:spacing w:val="-2"/>
              </w:rPr>
              <w:t>Sexo</w:t>
            </w:r>
          </w:p>
        </w:tc>
        <w:tc>
          <w:tcPr>
            <w:tcW w:w="1825" w:type="pct"/>
            <w:tcBorders>
              <w:bottom w:val="single" w:sz="4" w:space="0" w:color="auto"/>
            </w:tcBorders>
            <w:vAlign w:val="center"/>
          </w:tcPr>
          <w:p w:rsidR="00BB1A0F" w:rsidRDefault="00364EA7">
            <w:pPr>
              <w:pStyle w:val="TableParagraph"/>
              <w:spacing w:before="0"/>
              <w:ind w:left="726"/>
              <w:jc w:val="center"/>
              <w:rPr>
                <w:rFonts w:ascii="Times New Roman" w:hAnsi="Times New Roman" w:cs="Times New Roman"/>
                <w:b/>
                <w:spacing w:val="-5"/>
              </w:rPr>
            </w:pPr>
            <w:r>
              <w:rPr>
                <w:rFonts w:ascii="Times New Roman" w:hAnsi="Times New Roman" w:cs="Times New Roman"/>
                <w:b/>
                <w:spacing w:val="-5"/>
              </w:rPr>
              <w:t>Frecuencia</w:t>
            </w:r>
          </w:p>
        </w:tc>
        <w:tc>
          <w:tcPr>
            <w:tcW w:w="1177" w:type="pct"/>
            <w:tcBorders>
              <w:bottom w:val="single" w:sz="4" w:space="0" w:color="auto"/>
            </w:tcBorders>
            <w:vAlign w:val="center"/>
          </w:tcPr>
          <w:p w:rsidR="00BB1A0F" w:rsidRDefault="00364EA7">
            <w:pPr>
              <w:pStyle w:val="TableParagraph"/>
              <w:spacing w:before="0"/>
              <w:ind w:right="105"/>
              <w:jc w:val="center"/>
              <w:rPr>
                <w:rFonts w:ascii="Times New Roman" w:hAnsi="Times New Roman" w:cs="Times New Roman"/>
                <w:b/>
                <w:spacing w:val="-4"/>
              </w:rPr>
            </w:pPr>
            <w:r>
              <w:rPr>
                <w:rFonts w:ascii="Times New Roman" w:hAnsi="Times New Roman" w:cs="Times New Roman"/>
                <w:b/>
                <w:spacing w:val="-4"/>
              </w:rPr>
              <w:t>Porcentaje</w:t>
            </w:r>
          </w:p>
        </w:tc>
      </w:tr>
      <w:tr w:rsidR="00BB1A0F">
        <w:trPr>
          <w:trHeight w:val="262"/>
        </w:trPr>
        <w:tc>
          <w:tcPr>
            <w:tcW w:w="1998" w:type="pct"/>
            <w:tcBorders>
              <w:top w:val="single" w:sz="4" w:space="0" w:color="auto"/>
            </w:tcBorders>
            <w:vAlign w:val="center"/>
          </w:tcPr>
          <w:p w:rsidR="00BB1A0F" w:rsidRDefault="00364EA7">
            <w:pPr>
              <w:pStyle w:val="TableParagraph"/>
              <w:spacing w:before="0"/>
              <w:ind w:left="50"/>
              <w:jc w:val="center"/>
              <w:rPr>
                <w:rFonts w:ascii="Times New Roman" w:hAnsi="Times New Roman" w:cs="Times New Roman"/>
              </w:rPr>
            </w:pPr>
            <w:r>
              <w:rPr>
                <w:rFonts w:ascii="Times New Roman" w:hAnsi="Times New Roman" w:cs="Times New Roman"/>
                <w:spacing w:val="-2"/>
              </w:rPr>
              <w:t>Femenino</w:t>
            </w:r>
          </w:p>
        </w:tc>
        <w:tc>
          <w:tcPr>
            <w:tcW w:w="1825" w:type="pct"/>
            <w:tcBorders>
              <w:top w:val="single" w:sz="4" w:space="0" w:color="auto"/>
            </w:tcBorders>
            <w:vAlign w:val="center"/>
          </w:tcPr>
          <w:p w:rsidR="00BB1A0F" w:rsidRDefault="00364EA7">
            <w:pPr>
              <w:pStyle w:val="TableParagraph"/>
              <w:spacing w:before="0"/>
              <w:ind w:left="726"/>
              <w:jc w:val="center"/>
              <w:rPr>
                <w:rFonts w:ascii="Times New Roman" w:hAnsi="Times New Roman" w:cs="Times New Roman"/>
              </w:rPr>
            </w:pPr>
            <w:r>
              <w:rPr>
                <w:rFonts w:ascii="Times New Roman" w:hAnsi="Times New Roman" w:cs="Times New Roman"/>
                <w:spacing w:val="-5"/>
              </w:rPr>
              <w:t>245</w:t>
            </w:r>
          </w:p>
        </w:tc>
        <w:tc>
          <w:tcPr>
            <w:tcW w:w="1177" w:type="pct"/>
            <w:tcBorders>
              <w:top w:val="single" w:sz="4" w:space="0" w:color="auto"/>
            </w:tcBorders>
            <w:vAlign w:val="center"/>
          </w:tcPr>
          <w:p w:rsidR="00BB1A0F" w:rsidRDefault="00364EA7">
            <w:pPr>
              <w:pStyle w:val="TableParagraph"/>
              <w:spacing w:before="0"/>
              <w:ind w:right="105"/>
              <w:jc w:val="center"/>
              <w:rPr>
                <w:rFonts w:ascii="Times New Roman" w:hAnsi="Times New Roman" w:cs="Times New Roman"/>
              </w:rPr>
            </w:pPr>
            <w:r>
              <w:rPr>
                <w:rFonts w:ascii="Times New Roman" w:hAnsi="Times New Roman" w:cs="Times New Roman"/>
                <w:spacing w:val="-4"/>
              </w:rPr>
              <w:t>51,7</w:t>
            </w:r>
          </w:p>
        </w:tc>
      </w:tr>
      <w:tr w:rsidR="00BB1A0F">
        <w:trPr>
          <w:trHeight w:val="312"/>
        </w:trPr>
        <w:tc>
          <w:tcPr>
            <w:tcW w:w="1998" w:type="pct"/>
            <w:vAlign w:val="center"/>
          </w:tcPr>
          <w:p w:rsidR="00BB1A0F" w:rsidRDefault="00364EA7">
            <w:pPr>
              <w:pStyle w:val="TableParagraph"/>
              <w:spacing w:before="0"/>
              <w:ind w:left="50"/>
              <w:jc w:val="center"/>
              <w:rPr>
                <w:rFonts w:ascii="Times New Roman" w:hAnsi="Times New Roman" w:cs="Times New Roman"/>
              </w:rPr>
            </w:pPr>
            <w:r>
              <w:rPr>
                <w:rFonts w:ascii="Times New Roman" w:hAnsi="Times New Roman" w:cs="Times New Roman"/>
                <w:spacing w:val="-2"/>
              </w:rPr>
              <w:t>Masculino</w:t>
            </w:r>
          </w:p>
        </w:tc>
        <w:tc>
          <w:tcPr>
            <w:tcW w:w="1825" w:type="pct"/>
            <w:vAlign w:val="center"/>
          </w:tcPr>
          <w:p w:rsidR="00BB1A0F" w:rsidRDefault="00364EA7">
            <w:pPr>
              <w:pStyle w:val="TableParagraph"/>
              <w:spacing w:before="0"/>
              <w:ind w:left="722"/>
              <w:jc w:val="center"/>
              <w:rPr>
                <w:rFonts w:ascii="Times New Roman" w:hAnsi="Times New Roman" w:cs="Times New Roman"/>
              </w:rPr>
            </w:pPr>
            <w:r>
              <w:rPr>
                <w:rFonts w:ascii="Times New Roman" w:hAnsi="Times New Roman" w:cs="Times New Roman"/>
                <w:spacing w:val="-5"/>
              </w:rPr>
              <w:t>229</w:t>
            </w:r>
          </w:p>
        </w:tc>
        <w:tc>
          <w:tcPr>
            <w:tcW w:w="1177" w:type="pct"/>
            <w:vAlign w:val="center"/>
          </w:tcPr>
          <w:p w:rsidR="00BB1A0F" w:rsidRDefault="00364EA7">
            <w:pPr>
              <w:pStyle w:val="TableParagraph"/>
              <w:spacing w:before="0"/>
              <w:ind w:right="106"/>
              <w:jc w:val="center"/>
              <w:rPr>
                <w:rFonts w:ascii="Times New Roman" w:hAnsi="Times New Roman" w:cs="Times New Roman"/>
              </w:rPr>
            </w:pPr>
            <w:r>
              <w:rPr>
                <w:rFonts w:ascii="Times New Roman" w:hAnsi="Times New Roman" w:cs="Times New Roman"/>
                <w:spacing w:val="-4"/>
              </w:rPr>
              <w:t>48,3</w:t>
            </w:r>
          </w:p>
        </w:tc>
      </w:tr>
      <w:tr w:rsidR="00BB1A0F">
        <w:trPr>
          <w:trHeight w:val="257"/>
        </w:trPr>
        <w:tc>
          <w:tcPr>
            <w:tcW w:w="1998" w:type="pct"/>
            <w:vAlign w:val="center"/>
          </w:tcPr>
          <w:p w:rsidR="00BB1A0F" w:rsidRDefault="00364EA7">
            <w:pPr>
              <w:pStyle w:val="TableParagraph"/>
              <w:tabs>
                <w:tab w:val="left" w:pos="1600"/>
              </w:tabs>
              <w:spacing w:before="0"/>
              <w:ind w:left="-8"/>
              <w:jc w:val="center"/>
              <w:rPr>
                <w:rFonts w:ascii="Times New Roman" w:hAnsi="Times New Roman" w:cs="Times New Roman"/>
              </w:rPr>
            </w:pPr>
            <w:r>
              <w:rPr>
                <w:rFonts w:ascii="Times New Roman" w:hAnsi="Times New Roman" w:cs="Times New Roman"/>
                <w:spacing w:val="-2"/>
              </w:rPr>
              <w:t>Total</w:t>
            </w:r>
          </w:p>
        </w:tc>
        <w:tc>
          <w:tcPr>
            <w:tcW w:w="1825" w:type="pct"/>
            <w:vAlign w:val="center"/>
          </w:tcPr>
          <w:p w:rsidR="00BB1A0F" w:rsidRDefault="00364EA7">
            <w:pPr>
              <w:pStyle w:val="TableParagraph"/>
              <w:tabs>
                <w:tab w:val="left" w:pos="1432"/>
              </w:tabs>
              <w:spacing w:before="0"/>
              <w:ind w:left="731"/>
              <w:jc w:val="center"/>
              <w:rPr>
                <w:rFonts w:ascii="Times New Roman" w:hAnsi="Times New Roman" w:cs="Times New Roman"/>
              </w:rPr>
            </w:pPr>
            <w:r>
              <w:rPr>
                <w:rFonts w:ascii="Times New Roman" w:hAnsi="Times New Roman" w:cs="Times New Roman"/>
                <w:spacing w:val="-5"/>
              </w:rPr>
              <w:t>474</w:t>
            </w:r>
          </w:p>
        </w:tc>
        <w:tc>
          <w:tcPr>
            <w:tcW w:w="1177" w:type="pct"/>
            <w:vAlign w:val="center"/>
          </w:tcPr>
          <w:p w:rsidR="00BB1A0F" w:rsidRDefault="00364EA7">
            <w:pPr>
              <w:pStyle w:val="TableParagraph"/>
              <w:spacing w:before="0"/>
              <w:ind w:right="47"/>
              <w:jc w:val="center"/>
              <w:rPr>
                <w:rFonts w:ascii="Times New Roman" w:hAnsi="Times New Roman" w:cs="Times New Roman"/>
              </w:rPr>
            </w:pPr>
            <w:r>
              <w:rPr>
                <w:rFonts w:ascii="Times New Roman" w:hAnsi="Times New Roman" w:cs="Times New Roman"/>
                <w:spacing w:val="-2"/>
              </w:rPr>
              <w:t>100,0</w:t>
            </w:r>
          </w:p>
        </w:tc>
      </w:tr>
    </w:tbl>
    <w:p w:rsidR="00BB1A0F" w:rsidRDefault="00364EA7">
      <w:pPr>
        <w:pStyle w:val="BodyText"/>
        <w:ind w:right="52" w:firstLine="708"/>
        <w:jc w:val="both"/>
        <w:rPr>
          <w:rFonts w:ascii="Times New Roman" w:hAnsi="Times New Roman" w:cs="Times New Roman"/>
          <w:sz w:val="20"/>
          <w:szCs w:val="20"/>
          <w:lang w:val="es-ES"/>
        </w:rPr>
      </w:pPr>
      <w:r>
        <w:rPr>
          <w:rFonts w:ascii="Times New Roman" w:hAnsi="Times New Roman" w:cs="Times New Roman"/>
          <w:sz w:val="20"/>
          <w:szCs w:val="20"/>
          <w:lang w:val="es-CO"/>
        </w:rPr>
        <w:t>Participaron 474 estudiantes, 245 mujeres y 229 varones, del nivel secundaria en una institución estatal, de un distrito marginal y populoso de Lima.</w:t>
      </w:r>
    </w:p>
    <w:p w:rsidR="00BB1A0F" w:rsidRDefault="00364EA7">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Tabla</w:t>
      </w:r>
      <w:r>
        <w:rPr>
          <w:rFonts w:ascii="Times New Roman" w:hAnsi="Times New Roman" w:cs="Times New Roman"/>
          <w:b/>
          <w:spacing w:val="-12"/>
          <w:sz w:val="20"/>
          <w:szCs w:val="20"/>
        </w:rPr>
        <w:t xml:space="preserve"> </w:t>
      </w:r>
      <w:r>
        <w:rPr>
          <w:rFonts w:ascii="Times New Roman" w:hAnsi="Times New Roman" w:cs="Times New Roman"/>
          <w:b/>
          <w:spacing w:val="-10"/>
          <w:sz w:val="20"/>
          <w:szCs w:val="20"/>
        </w:rPr>
        <w:t>2</w:t>
      </w:r>
    </w:p>
    <w:p w:rsidR="00BB1A0F" w:rsidRDefault="00364EA7">
      <w:pPr>
        <w:pStyle w:val="Heading2"/>
        <w:jc w:val="both"/>
        <w:rPr>
          <w:rFonts w:ascii="Times New Roman" w:hAnsi="Times New Roman" w:cs="Times New Roman"/>
          <w:b w:val="0"/>
          <w:i/>
          <w:sz w:val="20"/>
          <w:szCs w:val="20"/>
        </w:rPr>
      </w:pPr>
      <w:bookmarkStart w:id="0" w:name="Cantidad_de_participantes_por_grado"/>
      <w:bookmarkEnd w:id="0"/>
      <w:r>
        <w:rPr>
          <w:rFonts w:ascii="Times New Roman" w:hAnsi="Times New Roman" w:cs="Times New Roman"/>
          <w:b w:val="0"/>
          <w:i/>
          <w:sz w:val="20"/>
          <w:szCs w:val="20"/>
        </w:rPr>
        <w:t>Cantidad</w:t>
      </w:r>
      <w:r>
        <w:rPr>
          <w:rFonts w:ascii="Times New Roman" w:hAnsi="Times New Roman" w:cs="Times New Roman"/>
          <w:b w:val="0"/>
          <w:i/>
          <w:spacing w:val="-12"/>
          <w:sz w:val="20"/>
          <w:szCs w:val="20"/>
        </w:rPr>
        <w:t xml:space="preserve"> </w:t>
      </w:r>
      <w:r>
        <w:rPr>
          <w:rFonts w:ascii="Times New Roman" w:hAnsi="Times New Roman" w:cs="Times New Roman"/>
          <w:b w:val="0"/>
          <w:i/>
          <w:sz w:val="20"/>
          <w:szCs w:val="20"/>
        </w:rPr>
        <w:t>de</w:t>
      </w:r>
      <w:r>
        <w:rPr>
          <w:rFonts w:ascii="Times New Roman" w:hAnsi="Times New Roman" w:cs="Times New Roman"/>
          <w:b w:val="0"/>
          <w:i/>
          <w:spacing w:val="-12"/>
          <w:sz w:val="20"/>
          <w:szCs w:val="20"/>
        </w:rPr>
        <w:t xml:space="preserve"> </w:t>
      </w:r>
      <w:r>
        <w:rPr>
          <w:rFonts w:ascii="Times New Roman" w:hAnsi="Times New Roman" w:cs="Times New Roman"/>
          <w:b w:val="0"/>
          <w:i/>
          <w:sz w:val="20"/>
          <w:szCs w:val="20"/>
        </w:rPr>
        <w:t>participantes</w:t>
      </w:r>
      <w:r>
        <w:rPr>
          <w:rFonts w:ascii="Times New Roman" w:hAnsi="Times New Roman" w:cs="Times New Roman"/>
          <w:b w:val="0"/>
          <w:i/>
          <w:spacing w:val="-8"/>
          <w:sz w:val="20"/>
          <w:szCs w:val="20"/>
        </w:rPr>
        <w:t xml:space="preserve"> </w:t>
      </w:r>
      <w:r>
        <w:rPr>
          <w:rFonts w:ascii="Times New Roman" w:hAnsi="Times New Roman" w:cs="Times New Roman"/>
          <w:b w:val="0"/>
          <w:i/>
          <w:sz w:val="20"/>
          <w:szCs w:val="20"/>
        </w:rPr>
        <w:t>por</w:t>
      </w:r>
      <w:r>
        <w:rPr>
          <w:rFonts w:ascii="Times New Roman" w:hAnsi="Times New Roman" w:cs="Times New Roman"/>
          <w:b w:val="0"/>
          <w:i/>
          <w:spacing w:val="-9"/>
          <w:sz w:val="20"/>
          <w:szCs w:val="20"/>
        </w:rPr>
        <w:t xml:space="preserve"> </w:t>
      </w:r>
      <w:r>
        <w:rPr>
          <w:rFonts w:ascii="Times New Roman" w:hAnsi="Times New Roman" w:cs="Times New Roman"/>
          <w:b w:val="0"/>
          <w:i/>
          <w:spacing w:val="-4"/>
          <w:sz w:val="20"/>
          <w:szCs w:val="20"/>
        </w:rPr>
        <w:t>grado</w:t>
      </w:r>
    </w:p>
    <w:tbl>
      <w:tblPr>
        <w:tblStyle w:val="TableNormal1"/>
        <w:tblW w:w="5000" w:type="pct"/>
        <w:tblInd w:w="0" w:type="dxa"/>
        <w:tblLook w:val="01E0" w:firstRow="1" w:lastRow="1" w:firstColumn="1" w:lastColumn="1" w:noHBand="0" w:noVBand="0"/>
      </w:tblPr>
      <w:tblGrid>
        <w:gridCol w:w="3413"/>
        <w:gridCol w:w="3438"/>
        <w:gridCol w:w="3239"/>
      </w:tblGrid>
      <w:tr w:rsidR="00BB1A0F">
        <w:trPr>
          <w:trHeight w:val="297"/>
        </w:trPr>
        <w:tc>
          <w:tcPr>
            <w:tcW w:w="1691"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33"/>
              <w:jc w:val="center"/>
              <w:rPr>
                <w:rFonts w:ascii="Times New Roman" w:hAnsi="Times New Roman" w:cs="Times New Roman"/>
                <w:b/>
              </w:rPr>
            </w:pPr>
            <w:r>
              <w:rPr>
                <w:rFonts w:ascii="Times New Roman" w:hAnsi="Times New Roman" w:cs="Times New Roman"/>
                <w:b/>
                <w:spacing w:val="-2"/>
              </w:rPr>
              <w:t>Grado</w:t>
            </w:r>
          </w:p>
        </w:tc>
        <w:tc>
          <w:tcPr>
            <w:tcW w:w="1703" w:type="pct"/>
            <w:tcBorders>
              <w:top w:val="single" w:sz="4" w:space="0" w:color="000000"/>
              <w:left w:val="none" w:sz="4" w:space="0" w:color="000000"/>
              <w:bottom w:val="single" w:sz="4" w:space="0" w:color="000000"/>
              <w:right w:val="single" w:sz="8" w:space="0" w:color="DFDFDF"/>
            </w:tcBorders>
            <w:vAlign w:val="center"/>
          </w:tcPr>
          <w:p w:rsidR="00BB1A0F" w:rsidRDefault="00364EA7">
            <w:pPr>
              <w:pStyle w:val="TableParagraph"/>
              <w:spacing w:before="0"/>
              <w:ind w:right="44"/>
              <w:jc w:val="center"/>
              <w:rPr>
                <w:rFonts w:ascii="Times New Roman" w:hAnsi="Times New Roman" w:cs="Times New Roman"/>
                <w:b/>
              </w:rPr>
            </w:pPr>
            <w:r>
              <w:rPr>
                <w:rFonts w:ascii="Times New Roman" w:hAnsi="Times New Roman" w:cs="Times New Roman"/>
                <w:b/>
                <w:spacing w:val="-2"/>
              </w:rPr>
              <w:t>Frecuencia</w:t>
            </w:r>
          </w:p>
        </w:tc>
        <w:tc>
          <w:tcPr>
            <w:tcW w:w="1605" w:type="pct"/>
            <w:tcBorders>
              <w:top w:val="single" w:sz="4" w:space="0" w:color="000000"/>
              <w:left w:val="single" w:sz="8" w:space="0" w:color="DFDFDF"/>
              <w:bottom w:val="single" w:sz="4" w:space="0" w:color="000000"/>
              <w:right w:val="single" w:sz="8" w:space="0" w:color="DFDFDF"/>
            </w:tcBorders>
            <w:vAlign w:val="center"/>
          </w:tcPr>
          <w:p w:rsidR="00BB1A0F" w:rsidRDefault="00364EA7">
            <w:pPr>
              <w:pStyle w:val="TableParagraph"/>
              <w:spacing w:before="0"/>
              <w:ind w:right="42"/>
              <w:jc w:val="center"/>
              <w:rPr>
                <w:rFonts w:ascii="Times New Roman" w:hAnsi="Times New Roman" w:cs="Times New Roman"/>
                <w:b/>
              </w:rPr>
            </w:pPr>
            <w:r>
              <w:rPr>
                <w:rFonts w:ascii="Times New Roman" w:hAnsi="Times New Roman" w:cs="Times New Roman"/>
                <w:b/>
                <w:spacing w:val="-2"/>
              </w:rPr>
              <w:t>Porcentaje</w:t>
            </w:r>
          </w:p>
        </w:tc>
      </w:tr>
      <w:tr w:rsidR="00BB1A0F">
        <w:trPr>
          <w:trHeight w:val="252"/>
        </w:trPr>
        <w:tc>
          <w:tcPr>
            <w:tcW w:w="1691"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left="91"/>
              <w:jc w:val="center"/>
              <w:rPr>
                <w:rFonts w:ascii="Times New Roman" w:hAnsi="Times New Roman" w:cs="Times New Roman"/>
              </w:rPr>
            </w:pPr>
            <w:r>
              <w:rPr>
                <w:rFonts w:ascii="Times New Roman" w:hAnsi="Times New Roman" w:cs="Times New Roman"/>
              </w:rPr>
              <w:t>1er.</w:t>
            </w:r>
            <w:r>
              <w:rPr>
                <w:rFonts w:ascii="Times New Roman" w:hAnsi="Times New Roman" w:cs="Times New Roman"/>
                <w:spacing w:val="-8"/>
              </w:rPr>
              <w:t xml:space="preserve"> </w:t>
            </w:r>
            <w:r>
              <w:rPr>
                <w:rFonts w:ascii="Times New Roman" w:hAnsi="Times New Roman" w:cs="Times New Roman"/>
                <w:spacing w:val="-2"/>
              </w:rPr>
              <w:t>Grado</w:t>
            </w:r>
          </w:p>
        </w:tc>
        <w:tc>
          <w:tcPr>
            <w:tcW w:w="1703"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106"/>
              <w:jc w:val="center"/>
              <w:rPr>
                <w:rFonts w:ascii="Times New Roman" w:hAnsi="Times New Roman" w:cs="Times New Roman"/>
              </w:rPr>
            </w:pPr>
            <w:r>
              <w:rPr>
                <w:rFonts w:ascii="Times New Roman" w:hAnsi="Times New Roman" w:cs="Times New Roman"/>
                <w:spacing w:val="-5"/>
              </w:rPr>
              <w:t>104</w:t>
            </w:r>
          </w:p>
        </w:tc>
        <w:tc>
          <w:tcPr>
            <w:tcW w:w="1605"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41"/>
              <w:jc w:val="center"/>
              <w:rPr>
                <w:rFonts w:ascii="Times New Roman" w:hAnsi="Times New Roman" w:cs="Times New Roman"/>
              </w:rPr>
            </w:pPr>
            <w:r>
              <w:rPr>
                <w:rFonts w:ascii="Times New Roman" w:hAnsi="Times New Roman" w:cs="Times New Roman"/>
                <w:spacing w:val="-4"/>
              </w:rPr>
              <w:t>21,9</w:t>
            </w:r>
          </w:p>
        </w:tc>
      </w:tr>
      <w:tr w:rsidR="00BB1A0F">
        <w:trPr>
          <w:trHeight w:val="307"/>
        </w:trPr>
        <w:tc>
          <w:tcPr>
            <w:tcW w:w="1691" w:type="pct"/>
            <w:vAlign w:val="center"/>
          </w:tcPr>
          <w:p w:rsidR="00BB1A0F" w:rsidRDefault="00364EA7">
            <w:pPr>
              <w:pStyle w:val="TableParagraph"/>
              <w:spacing w:before="0"/>
              <w:ind w:left="91"/>
              <w:jc w:val="center"/>
              <w:rPr>
                <w:rFonts w:ascii="Times New Roman" w:hAnsi="Times New Roman" w:cs="Times New Roman"/>
              </w:rPr>
            </w:pPr>
            <w:r>
              <w:rPr>
                <w:rFonts w:ascii="Times New Roman" w:hAnsi="Times New Roman" w:cs="Times New Roman"/>
              </w:rPr>
              <w:t>2do.</w:t>
            </w:r>
            <w:r>
              <w:rPr>
                <w:rFonts w:ascii="Times New Roman" w:hAnsi="Times New Roman" w:cs="Times New Roman"/>
                <w:spacing w:val="-4"/>
              </w:rPr>
              <w:t xml:space="preserve"> Grado</w:t>
            </w:r>
          </w:p>
        </w:tc>
        <w:tc>
          <w:tcPr>
            <w:tcW w:w="1703" w:type="pct"/>
            <w:vAlign w:val="center"/>
          </w:tcPr>
          <w:p w:rsidR="00BB1A0F" w:rsidRDefault="00364EA7">
            <w:pPr>
              <w:pStyle w:val="TableParagraph"/>
              <w:spacing w:before="0"/>
              <w:ind w:right="106"/>
              <w:jc w:val="center"/>
              <w:rPr>
                <w:rFonts w:ascii="Times New Roman" w:hAnsi="Times New Roman" w:cs="Times New Roman"/>
              </w:rPr>
            </w:pPr>
            <w:r>
              <w:rPr>
                <w:rFonts w:ascii="Times New Roman" w:hAnsi="Times New Roman" w:cs="Times New Roman"/>
                <w:spacing w:val="-5"/>
              </w:rPr>
              <w:t>116</w:t>
            </w:r>
          </w:p>
        </w:tc>
        <w:tc>
          <w:tcPr>
            <w:tcW w:w="1605" w:type="pct"/>
            <w:vAlign w:val="center"/>
          </w:tcPr>
          <w:p w:rsidR="00BB1A0F" w:rsidRDefault="00364EA7">
            <w:pPr>
              <w:pStyle w:val="TableParagraph"/>
              <w:spacing w:before="0"/>
              <w:ind w:right="39"/>
              <w:jc w:val="center"/>
              <w:rPr>
                <w:rFonts w:ascii="Times New Roman" w:hAnsi="Times New Roman" w:cs="Times New Roman"/>
              </w:rPr>
            </w:pPr>
            <w:r>
              <w:rPr>
                <w:rFonts w:ascii="Times New Roman" w:hAnsi="Times New Roman" w:cs="Times New Roman"/>
                <w:spacing w:val="-4"/>
              </w:rPr>
              <w:t>24,5</w:t>
            </w:r>
          </w:p>
        </w:tc>
      </w:tr>
      <w:tr w:rsidR="00BB1A0F">
        <w:trPr>
          <w:trHeight w:val="302"/>
        </w:trPr>
        <w:tc>
          <w:tcPr>
            <w:tcW w:w="1691" w:type="pct"/>
            <w:vAlign w:val="center"/>
          </w:tcPr>
          <w:p w:rsidR="00BB1A0F" w:rsidRDefault="00364EA7">
            <w:pPr>
              <w:pStyle w:val="TableParagraph"/>
              <w:spacing w:before="0"/>
              <w:ind w:left="91"/>
              <w:jc w:val="center"/>
              <w:rPr>
                <w:rFonts w:ascii="Times New Roman" w:hAnsi="Times New Roman" w:cs="Times New Roman"/>
              </w:rPr>
            </w:pPr>
            <w:r>
              <w:rPr>
                <w:rFonts w:ascii="Times New Roman" w:hAnsi="Times New Roman" w:cs="Times New Roman"/>
              </w:rPr>
              <w:t>3er.</w:t>
            </w:r>
            <w:r>
              <w:rPr>
                <w:rFonts w:ascii="Times New Roman" w:hAnsi="Times New Roman" w:cs="Times New Roman"/>
                <w:spacing w:val="-5"/>
              </w:rPr>
              <w:t xml:space="preserve"> </w:t>
            </w:r>
            <w:r>
              <w:rPr>
                <w:rFonts w:ascii="Times New Roman" w:hAnsi="Times New Roman" w:cs="Times New Roman"/>
                <w:spacing w:val="-2"/>
              </w:rPr>
              <w:t>Grado</w:t>
            </w:r>
          </w:p>
        </w:tc>
        <w:tc>
          <w:tcPr>
            <w:tcW w:w="1703" w:type="pct"/>
            <w:vAlign w:val="center"/>
          </w:tcPr>
          <w:p w:rsidR="00BB1A0F" w:rsidRDefault="00364EA7">
            <w:pPr>
              <w:pStyle w:val="TableParagraph"/>
              <w:spacing w:before="0"/>
              <w:ind w:right="107"/>
              <w:jc w:val="center"/>
              <w:rPr>
                <w:rFonts w:ascii="Times New Roman" w:hAnsi="Times New Roman" w:cs="Times New Roman"/>
              </w:rPr>
            </w:pPr>
            <w:r>
              <w:rPr>
                <w:rFonts w:ascii="Times New Roman" w:hAnsi="Times New Roman" w:cs="Times New Roman"/>
                <w:spacing w:val="-5"/>
              </w:rPr>
              <w:t>102</w:t>
            </w:r>
          </w:p>
        </w:tc>
        <w:tc>
          <w:tcPr>
            <w:tcW w:w="1605" w:type="pct"/>
            <w:vAlign w:val="center"/>
          </w:tcPr>
          <w:p w:rsidR="00BB1A0F" w:rsidRDefault="00364EA7">
            <w:pPr>
              <w:pStyle w:val="TableParagraph"/>
              <w:spacing w:before="0"/>
              <w:ind w:right="39"/>
              <w:jc w:val="center"/>
              <w:rPr>
                <w:rFonts w:ascii="Times New Roman" w:hAnsi="Times New Roman" w:cs="Times New Roman"/>
              </w:rPr>
            </w:pPr>
            <w:r>
              <w:rPr>
                <w:rFonts w:ascii="Times New Roman" w:hAnsi="Times New Roman" w:cs="Times New Roman"/>
                <w:spacing w:val="-4"/>
              </w:rPr>
              <w:t>21,5</w:t>
            </w:r>
          </w:p>
        </w:tc>
      </w:tr>
      <w:tr w:rsidR="00BB1A0F">
        <w:trPr>
          <w:trHeight w:val="302"/>
        </w:trPr>
        <w:tc>
          <w:tcPr>
            <w:tcW w:w="1691" w:type="pct"/>
            <w:vAlign w:val="center"/>
          </w:tcPr>
          <w:p w:rsidR="00BB1A0F" w:rsidRDefault="00364EA7">
            <w:pPr>
              <w:pStyle w:val="TableParagraph"/>
              <w:spacing w:before="0"/>
              <w:ind w:left="91"/>
              <w:jc w:val="center"/>
              <w:rPr>
                <w:rFonts w:ascii="Times New Roman" w:hAnsi="Times New Roman" w:cs="Times New Roman"/>
              </w:rPr>
            </w:pPr>
            <w:r>
              <w:rPr>
                <w:rFonts w:ascii="Times New Roman" w:hAnsi="Times New Roman" w:cs="Times New Roman"/>
                <w:spacing w:val="-2"/>
              </w:rPr>
              <w:t>4to.</w:t>
            </w:r>
            <w:r>
              <w:rPr>
                <w:rFonts w:ascii="Times New Roman" w:hAnsi="Times New Roman" w:cs="Times New Roman"/>
                <w:spacing w:val="-3"/>
              </w:rPr>
              <w:t xml:space="preserve"> </w:t>
            </w:r>
            <w:r>
              <w:rPr>
                <w:rFonts w:ascii="Times New Roman" w:hAnsi="Times New Roman" w:cs="Times New Roman"/>
                <w:spacing w:val="-4"/>
              </w:rPr>
              <w:t>Grado</w:t>
            </w:r>
          </w:p>
        </w:tc>
        <w:tc>
          <w:tcPr>
            <w:tcW w:w="1703" w:type="pct"/>
            <w:vAlign w:val="center"/>
          </w:tcPr>
          <w:p w:rsidR="00BB1A0F" w:rsidRDefault="00364EA7">
            <w:pPr>
              <w:pStyle w:val="TableParagraph"/>
              <w:spacing w:before="0"/>
              <w:ind w:right="107"/>
              <w:jc w:val="center"/>
              <w:rPr>
                <w:rFonts w:ascii="Times New Roman" w:hAnsi="Times New Roman" w:cs="Times New Roman"/>
              </w:rPr>
            </w:pPr>
            <w:r>
              <w:rPr>
                <w:rFonts w:ascii="Times New Roman" w:hAnsi="Times New Roman" w:cs="Times New Roman"/>
                <w:spacing w:val="-5"/>
              </w:rPr>
              <w:t>99</w:t>
            </w:r>
          </w:p>
        </w:tc>
        <w:tc>
          <w:tcPr>
            <w:tcW w:w="1605" w:type="pct"/>
            <w:vAlign w:val="center"/>
          </w:tcPr>
          <w:p w:rsidR="00BB1A0F" w:rsidRDefault="00364EA7">
            <w:pPr>
              <w:pStyle w:val="TableParagraph"/>
              <w:spacing w:before="0"/>
              <w:ind w:right="41"/>
              <w:jc w:val="center"/>
              <w:rPr>
                <w:rFonts w:ascii="Times New Roman" w:hAnsi="Times New Roman" w:cs="Times New Roman"/>
              </w:rPr>
            </w:pPr>
            <w:r>
              <w:rPr>
                <w:rFonts w:ascii="Times New Roman" w:hAnsi="Times New Roman" w:cs="Times New Roman"/>
                <w:spacing w:val="-4"/>
              </w:rPr>
              <w:t>20,9</w:t>
            </w:r>
          </w:p>
        </w:tc>
      </w:tr>
      <w:tr w:rsidR="00BB1A0F">
        <w:trPr>
          <w:trHeight w:val="309"/>
        </w:trPr>
        <w:tc>
          <w:tcPr>
            <w:tcW w:w="1691" w:type="pct"/>
            <w:vAlign w:val="center"/>
          </w:tcPr>
          <w:p w:rsidR="00BB1A0F" w:rsidRDefault="00364EA7">
            <w:pPr>
              <w:pStyle w:val="TableParagraph"/>
              <w:spacing w:before="0"/>
              <w:ind w:left="91"/>
              <w:jc w:val="center"/>
              <w:rPr>
                <w:rFonts w:ascii="Times New Roman" w:hAnsi="Times New Roman" w:cs="Times New Roman"/>
              </w:rPr>
            </w:pPr>
            <w:r>
              <w:rPr>
                <w:rFonts w:ascii="Times New Roman" w:hAnsi="Times New Roman" w:cs="Times New Roman"/>
              </w:rPr>
              <w:t>5to.</w:t>
            </w:r>
            <w:r>
              <w:rPr>
                <w:rFonts w:ascii="Times New Roman" w:hAnsi="Times New Roman" w:cs="Times New Roman"/>
                <w:spacing w:val="-9"/>
              </w:rPr>
              <w:t xml:space="preserve"> </w:t>
            </w:r>
            <w:r>
              <w:rPr>
                <w:rFonts w:ascii="Times New Roman" w:hAnsi="Times New Roman" w:cs="Times New Roman"/>
                <w:spacing w:val="-2"/>
              </w:rPr>
              <w:t>Grado</w:t>
            </w:r>
          </w:p>
        </w:tc>
        <w:tc>
          <w:tcPr>
            <w:tcW w:w="1703" w:type="pct"/>
            <w:vAlign w:val="center"/>
          </w:tcPr>
          <w:p w:rsidR="00BB1A0F" w:rsidRDefault="00364EA7">
            <w:pPr>
              <w:pStyle w:val="TableParagraph"/>
              <w:spacing w:before="0"/>
              <w:ind w:right="98"/>
              <w:jc w:val="center"/>
              <w:rPr>
                <w:rFonts w:ascii="Times New Roman" w:hAnsi="Times New Roman" w:cs="Times New Roman"/>
              </w:rPr>
            </w:pPr>
            <w:r>
              <w:rPr>
                <w:rFonts w:ascii="Times New Roman" w:hAnsi="Times New Roman" w:cs="Times New Roman"/>
                <w:spacing w:val="-5"/>
              </w:rPr>
              <w:t>53</w:t>
            </w:r>
          </w:p>
        </w:tc>
        <w:tc>
          <w:tcPr>
            <w:tcW w:w="1605" w:type="pct"/>
            <w:vAlign w:val="center"/>
          </w:tcPr>
          <w:p w:rsidR="00BB1A0F" w:rsidRDefault="00364EA7">
            <w:pPr>
              <w:pStyle w:val="TableParagraph"/>
              <w:spacing w:before="0"/>
              <w:ind w:right="43"/>
              <w:jc w:val="center"/>
              <w:rPr>
                <w:rFonts w:ascii="Times New Roman" w:hAnsi="Times New Roman" w:cs="Times New Roman"/>
              </w:rPr>
            </w:pPr>
            <w:r>
              <w:rPr>
                <w:rFonts w:ascii="Times New Roman" w:hAnsi="Times New Roman" w:cs="Times New Roman"/>
                <w:spacing w:val="-4"/>
              </w:rPr>
              <w:t>11,2</w:t>
            </w:r>
          </w:p>
        </w:tc>
      </w:tr>
      <w:tr w:rsidR="00BB1A0F">
        <w:trPr>
          <w:trHeight w:val="363"/>
        </w:trPr>
        <w:tc>
          <w:tcPr>
            <w:tcW w:w="1691"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91"/>
              <w:jc w:val="center"/>
              <w:rPr>
                <w:rFonts w:ascii="Times New Roman" w:hAnsi="Times New Roman" w:cs="Times New Roman"/>
              </w:rPr>
            </w:pPr>
            <w:r>
              <w:rPr>
                <w:rFonts w:ascii="Times New Roman" w:hAnsi="Times New Roman" w:cs="Times New Roman"/>
                <w:spacing w:val="-2"/>
              </w:rPr>
              <w:t>Total</w:t>
            </w:r>
          </w:p>
        </w:tc>
        <w:tc>
          <w:tcPr>
            <w:tcW w:w="1703"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104"/>
              <w:jc w:val="center"/>
              <w:rPr>
                <w:rFonts w:ascii="Times New Roman" w:hAnsi="Times New Roman" w:cs="Times New Roman"/>
              </w:rPr>
            </w:pPr>
            <w:r>
              <w:rPr>
                <w:rFonts w:ascii="Times New Roman" w:hAnsi="Times New Roman" w:cs="Times New Roman"/>
                <w:spacing w:val="-5"/>
              </w:rPr>
              <w:t>474</w:t>
            </w:r>
          </w:p>
        </w:tc>
        <w:tc>
          <w:tcPr>
            <w:tcW w:w="1605"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42"/>
              <w:jc w:val="center"/>
              <w:rPr>
                <w:rFonts w:ascii="Times New Roman" w:hAnsi="Times New Roman" w:cs="Times New Roman"/>
              </w:rPr>
            </w:pPr>
            <w:r>
              <w:rPr>
                <w:rFonts w:ascii="Times New Roman" w:hAnsi="Times New Roman" w:cs="Times New Roman"/>
                <w:spacing w:val="-2"/>
              </w:rPr>
              <w:t>100,0</w:t>
            </w:r>
          </w:p>
        </w:tc>
      </w:tr>
    </w:tbl>
    <w:p w:rsidR="00BB1A0F" w:rsidRDefault="00364EA7">
      <w:pPr>
        <w:pStyle w:val="BodyText"/>
        <w:ind w:right="213" w:firstLine="708"/>
        <w:jc w:val="both"/>
        <w:rPr>
          <w:rFonts w:ascii="Times New Roman" w:hAnsi="Times New Roman" w:cs="Times New Roman"/>
          <w:sz w:val="20"/>
          <w:szCs w:val="20"/>
          <w:lang w:val="es-ES"/>
        </w:rPr>
      </w:pPr>
      <w:r>
        <w:rPr>
          <w:rFonts w:ascii="Times New Roman" w:hAnsi="Times New Roman" w:cs="Times New Roman"/>
          <w:sz w:val="20"/>
          <w:szCs w:val="20"/>
          <w:lang w:val="es-CO"/>
        </w:rPr>
        <w:t>Se aprecia que participaron más estudiantes de segundo grado (116) y menos estudiantes de quinto grado (53). También se aprecia que los primeros grados dieron más acogida al estudio y</w:t>
      </w:r>
      <w:r>
        <w:rPr>
          <w:rFonts w:ascii="Times New Roman" w:hAnsi="Times New Roman" w:cs="Times New Roman"/>
          <w:spacing w:val="-7"/>
          <w:sz w:val="20"/>
          <w:szCs w:val="20"/>
          <w:lang w:val="es-CO"/>
        </w:rPr>
        <w:t xml:space="preserve"> </w:t>
      </w:r>
      <w:r>
        <w:rPr>
          <w:rFonts w:ascii="Times New Roman" w:hAnsi="Times New Roman" w:cs="Times New Roman"/>
          <w:sz w:val="20"/>
          <w:szCs w:val="20"/>
          <w:lang w:val="es-CO"/>
        </w:rPr>
        <w:t>los</w:t>
      </w:r>
      <w:r>
        <w:rPr>
          <w:rFonts w:ascii="Times New Roman" w:hAnsi="Times New Roman" w:cs="Times New Roman"/>
          <w:spacing w:val="-8"/>
          <w:sz w:val="20"/>
          <w:szCs w:val="20"/>
          <w:lang w:val="es-CO"/>
        </w:rPr>
        <w:t xml:space="preserve"> </w:t>
      </w:r>
      <w:r>
        <w:rPr>
          <w:rFonts w:ascii="Times New Roman" w:hAnsi="Times New Roman" w:cs="Times New Roman"/>
          <w:sz w:val="20"/>
          <w:szCs w:val="20"/>
          <w:lang w:val="es-CO"/>
        </w:rPr>
        <w:t>últimos</w:t>
      </w:r>
      <w:r>
        <w:rPr>
          <w:rFonts w:ascii="Times New Roman" w:hAnsi="Times New Roman" w:cs="Times New Roman"/>
          <w:spacing w:val="-7"/>
          <w:sz w:val="20"/>
          <w:szCs w:val="20"/>
          <w:lang w:val="es-CO"/>
        </w:rPr>
        <w:t xml:space="preserve"> </w:t>
      </w:r>
      <w:r>
        <w:rPr>
          <w:rFonts w:ascii="Times New Roman" w:hAnsi="Times New Roman" w:cs="Times New Roman"/>
          <w:sz w:val="20"/>
          <w:szCs w:val="20"/>
          <w:lang w:val="es-CO"/>
        </w:rPr>
        <w:t>grados,</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menos</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recepción.</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Estos</w:t>
      </w:r>
      <w:r>
        <w:rPr>
          <w:rFonts w:ascii="Times New Roman" w:hAnsi="Times New Roman" w:cs="Times New Roman"/>
          <w:spacing w:val="-4"/>
          <w:sz w:val="20"/>
          <w:szCs w:val="20"/>
          <w:lang w:val="es-CO"/>
        </w:rPr>
        <w:t xml:space="preserve"> </w:t>
      </w:r>
      <w:r>
        <w:rPr>
          <w:rFonts w:ascii="Times New Roman" w:hAnsi="Times New Roman" w:cs="Times New Roman"/>
          <w:sz w:val="20"/>
          <w:szCs w:val="20"/>
          <w:lang w:val="es-CO"/>
        </w:rPr>
        <w:t>últimos</w:t>
      </w:r>
      <w:r>
        <w:rPr>
          <w:rFonts w:ascii="Times New Roman" w:hAnsi="Times New Roman" w:cs="Times New Roman"/>
          <w:spacing w:val="-7"/>
          <w:sz w:val="20"/>
          <w:szCs w:val="20"/>
          <w:lang w:val="es-CO"/>
        </w:rPr>
        <w:t xml:space="preserve"> </w:t>
      </w:r>
      <w:r>
        <w:rPr>
          <w:rFonts w:ascii="Times New Roman" w:hAnsi="Times New Roman" w:cs="Times New Roman"/>
          <w:sz w:val="20"/>
          <w:szCs w:val="20"/>
          <w:lang w:val="es-CO"/>
        </w:rPr>
        <w:t>debía</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ser</w:t>
      </w:r>
      <w:r>
        <w:rPr>
          <w:rFonts w:ascii="Times New Roman" w:hAnsi="Times New Roman" w:cs="Times New Roman"/>
          <w:spacing w:val="-8"/>
          <w:sz w:val="20"/>
          <w:szCs w:val="20"/>
          <w:lang w:val="es-CO"/>
        </w:rPr>
        <w:t xml:space="preserve"> </w:t>
      </w:r>
      <w:r>
        <w:rPr>
          <w:rFonts w:ascii="Times New Roman" w:hAnsi="Times New Roman" w:cs="Times New Roman"/>
          <w:sz w:val="20"/>
          <w:szCs w:val="20"/>
          <w:lang w:val="es-CO"/>
        </w:rPr>
        <w:t>conscientes</w:t>
      </w:r>
      <w:r>
        <w:rPr>
          <w:rFonts w:ascii="Times New Roman" w:hAnsi="Times New Roman" w:cs="Times New Roman"/>
          <w:spacing w:val="-4"/>
          <w:sz w:val="20"/>
          <w:szCs w:val="20"/>
          <w:lang w:val="es-CO"/>
        </w:rPr>
        <w:t xml:space="preserve"> </w:t>
      </w:r>
      <w:r>
        <w:rPr>
          <w:rFonts w:ascii="Times New Roman" w:hAnsi="Times New Roman" w:cs="Times New Roman"/>
          <w:sz w:val="20"/>
          <w:szCs w:val="20"/>
          <w:lang w:val="es-CO"/>
        </w:rPr>
        <w:t>de</w:t>
      </w:r>
      <w:r>
        <w:rPr>
          <w:rFonts w:ascii="Times New Roman" w:hAnsi="Times New Roman" w:cs="Times New Roman"/>
          <w:spacing w:val="-10"/>
          <w:sz w:val="20"/>
          <w:szCs w:val="20"/>
          <w:lang w:val="es-CO"/>
        </w:rPr>
        <w:t xml:space="preserve"> </w:t>
      </w:r>
      <w:r>
        <w:rPr>
          <w:rFonts w:ascii="Times New Roman" w:hAnsi="Times New Roman" w:cs="Times New Roman"/>
          <w:sz w:val="20"/>
          <w:szCs w:val="20"/>
          <w:lang w:val="es-CO"/>
        </w:rPr>
        <w:t>que</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concluido</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la educación secundaria qué expectativas tienen para la vida.</w:t>
      </w:r>
      <w:r>
        <w:rPr>
          <w:rFonts w:ascii="Times New Roman" w:hAnsi="Times New Roman" w:cs="Times New Roman"/>
          <w:sz w:val="20"/>
          <w:szCs w:val="20"/>
          <w:lang w:val="es-ES"/>
        </w:rPr>
        <w:t xml:space="preserve"> </w:t>
      </w:r>
      <w:r>
        <w:rPr>
          <w:rFonts w:ascii="Times New Roman" w:hAnsi="Times New Roman" w:cs="Times New Roman"/>
          <w:sz w:val="20"/>
          <w:szCs w:val="20"/>
          <w:lang w:val="es-CO"/>
        </w:rPr>
        <w:t>En cuanto a los ítems descriptivos de las expectativas sobre la educación la información se tabula de la siguiente manera:</w:t>
      </w:r>
    </w:p>
    <w:p w:rsidR="00BB1A0F" w:rsidRDefault="00364EA7">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Tabla</w:t>
      </w:r>
      <w:r>
        <w:rPr>
          <w:rFonts w:ascii="Times New Roman" w:hAnsi="Times New Roman" w:cs="Times New Roman"/>
          <w:b/>
          <w:spacing w:val="-7"/>
          <w:sz w:val="20"/>
          <w:szCs w:val="20"/>
        </w:rPr>
        <w:t xml:space="preserve"> </w:t>
      </w:r>
      <w:r>
        <w:rPr>
          <w:rFonts w:ascii="Times New Roman" w:hAnsi="Times New Roman" w:cs="Times New Roman"/>
          <w:b/>
          <w:spacing w:val="-10"/>
          <w:sz w:val="20"/>
          <w:szCs w:val="20"/>
        </w:rPr>
        <w:t>3</w:t>
      </w:r>
    </w:p>
    <w:p w:rsidR="00BB1A0F" w:rsidRDefault="00364EA7">
      <w:pPr>
        <w:pStyle w:val="Heading2"/>
        <w:tabs>
          <w:tab w:val="left" w:pos="8326"/>
        </w:tabs>
        <w:jc w:val="both"/>
        <w:rPr>
          <w:rFonts w:ascii="Times New Roman" w:hAnsi="Times New Roman" w:cs="Times New Roman"/>
          <w:b w:val="0"/>
          <w:i/>
          <w:spacing w:val="-2"/>
          <w:sz w:val="20"/>
          <w:szCs w:val="20"/>
        </w:rPr>
      </w:pPr>
      <w:bookmarkStart w:id="1" w:name="Importancia_de_la_educación_para_los_est"/>
      <w:bookmarkEnd w:id="1"/>
      <w:r>
        <w:rPr>
          <w:rFonts w:ascii="Times New Roman" w:hAnsi="Times New Roman" w:cs="Times New Roman"/>
          <w:b w:val="0"/>
          <w:i/>
          <w:sz w:val="20"/>
          <w:szCs w:val="20"/>
        </w:rPr>
        <w:t>Importancia</w:t>
      </w:r>
      <w:r>
        <w:rPr>
          <w:rFonts w:ascii="Times New Roman" w:hAnsi="Times New Roman" w:cs="Times New Roman"/>
          <w:b w:val="0"/>
          <w:i/>
          <w:spacing w:val="-9"/>
          <w:sz w:val="20"/>
          <w:szCs w:val="20"/>
        </w:rPr>
        <w:t xml:space="preserve"> </w:t>
      </w:r>
      <w:r>
        <w:rPr>
          <w:rFonts w:ascii="Times New Roman" w:hAnsi="Times New Roman" w:cs="Times New Roman"/>
          <w:b w:val="0"/>
          <w:i/>
          <w:sz w:val="20"/>
          <w:szCs w:val="20"/>
        </w:rPr>
        <w:t>de</w:t>
      </w:r>
      <w:r>
        <w:rPr>
          <w:rFonts w:ascii="Times New Roman" w:hAnsi="Times New Roman" w:cs="Times New Roman"/>
          <w:b w:val="0"/>
          <w:i/>
          <w:spacing w:val="-4"/>
          <w:sz w:val="20"/>
          <w:szCs w:val="20"/>
        </w:rPr>
        <w:t xml:space="preserve"> </w:t>
      </w:r>
      <w:r>
        <w:rPr>
          <w:rFonts w:ascii="Times New Roman" w:hAnsi="Times New Roman" w:cs="Times New Roman"/>
          <w:b w:val="0"/>
          <w:i/>
          <w:sz w:val="20"/>
          <w:szCs w:val="20"/>
        </w:rPr>
        <w:t>la</w:t>
      </w:r>
      <w:r>
        <w:rPr>
          <w:rFonts w:ascii="Times New Roman" w:hAnsi="Times New Roman" w:cs="Times New Roman"/>
          <w:b w:val="0"/>
          <w:i/>
          <w:spacing w:val="-10"/>
          <w:sz w:val="20"/>
          <w:szCs w:val="20"/>
        </w:rPr>
        <w:t xml:space="preserve"> </w:t>
      </w:r>
      <w:r>
        <w:rPr>
          <w:rFonts w:ascii="Times New Roman" w:hAnsi="Times New Roman" w:cs="Times New Roman"/>
          <w:b w:val="0"/>
          <w:i/>
          <w:sz w:val="20"/>
          <w:szCs w:val="20"/>
        </w:rPr>
        <w:t>educación</w:t>
      </w:r>
      <w:r>
        <w:rPr>
          <w:rFonts w:ascii="Times New Roman" w:hAnsi="Times New Roman" w:cs="Times New Roman"/>
          <w:b w:val="0"/>
          <w:i/>
          <w:spacing w:val="-7"/>
          <w:sz w:val="20"/>
          <w:szCs w:val="20"/>
        </w:rPr>
        <w:t xml:space="preserve"> </w:t>
      </w:r>
      <w:r>
        <w:rPr>
          <w:rFonts w:ascii="Times New Roman" w:hAnsi="Times New Roman" w:cs="Times New Roman"/>
          <w:b w:val="0"/>
          <w:i/>
          <w:sz w:val="20"/>
          <w:szCs w:val="20"/>
        </w:rPr>
        <w:t>para</w:t>
      </w:r>
      <w:r>
        <w:rPr>
          <w:rFonts w:ascii="Times New Roman" w:hAnsi="Times New Roman" w:cs="Times New Roman"/>
          <w:b w:val="0"/>
          <w:i/>
          <w:spacing w:val="-4"/>
          <w:sz w:val="20"/>
          <w:szCs w:val="20"/>
        </w:rPr>
        <w:t xml:space="preserve"> </w:t>
      </w:r>
      <w:r>
        <w:rPr>
          <w:rFonts w:ascii="Times New Roman" w:hAnsi="Times New Roman" w:cs="Times New Roman"/>
          <w:b w:val="0"/>
          <w:i/>
          <w:sz w:val="20"/>
          <w:szCs w:val="20"/>
        </w:rPr>
        <w:t>los</w:t>
      </w:r>
      <w:r>
        <w:rPr>
          <w:rFonts w:ascii="Times New Roman" w:hAnsi="Times New Roman" w:cs="Times New Roman"/>
          <w:b w:val="0"/>
          <w:i/>
          <w:spacing w:val="-5"/>
          <w:sz w:val="20"/>
          <w:szCs w:val="20"/>
        </w:rPr>
        <w:t xml:space="preserve"> </w:t>
      </w:r>
      <w:r>
        <w:rPr>
          <w:rFonts w:ascii="Times New Roman" w:hAnsi="Times New Roman" w:cs="Times New Roman"/>
          <w:b w:val="0"/>
          <w:i/>
          <w:spacing w:val="-2"/>
          <w:sz w:val="20"/>
          <w:szCs w:val="20"/>
        </w:rPr>
        <w:t>estudiantes</w:t>
      </w:r>
      <w:r>
        <w:rPr>
          <w:rFonts w:ascii="Times New Roman" w:hAnsi="Times New Roman" w:cs="Times New Roman"/>
          <w:b w:val="0"/>
          <w:sz w:val="20"/>
          <w:szCs w:val="20"/>
        </w:rPr>
        <w:tab/>
      </w:r>
    </w:p>
    <w:tbl>
      <w:tblPr>
        <w:tblStyle w:val="TableNormal1"/>
        <w:tblW w:w="5000" w:type="pct"/>
        <w:tblInd w:w="0" w:type="dxa"/>
        <w:tblLook w:val="01E0" w:firstRow="1" w:lastRow="1" w:firstColumn="1" w:lastColumn="1" w:noHBand="0" w:noVBand="0"/>
      </w:tblPr>
      <w:tblGrid>
        <w:gridCol w:w="5714"/>
        <w:gridCol w:w="2540"/>
        <w:gridCol w:w="1826"/>
      </w:tblGrid>
      <w:tr w:rsidR="00BB1A0F">
        <w:trPr>
          <w:trHeight w:val="546"/>
        </w:trPr>
        <w:tc>
          <w:tcPr>
            <w:tcW w:w="2834" w:type="pct"/>
            <w:tcBorders>
              <w:top w:val="single" w:sz="4" w:space="0" w:color="auto"/>
              <w:left w:val="none" w:sz="4" w:space="0" w:color="000000"/>
              <w:bottom w:val="single" w:sz="4" w:space="0" w:color="000000"/>
              <w:right w:val="none" w:sz="4" w:space="0" w:color="000000"/>
            </w:tcBorders>
            <w:vAlign w:val="center"/>
          </w:tcPr>
          <w:p w:rsidR="00BB1A0F" w:rsidRDefault="00364EA7">
            <w:pPr>
              <w:pStyle w:val="TableParagraph"/>
              <w:spacing w:before="0"/>
              <w:ind w:left="1759" w:right="586"/>
              <w:jc w:val="center"/>
              <w:rPr>
                <w:rFonts w:ascii="Times New Roman" w:hAnsi="Times New Roman" w:cs="Times New Roman"/>
                <w:b/>
              </w:rPr>
            </w:pPr>
            <w:r>
              <w:rPr>
                <w:rFonts w:ascii="Times New Roman" w:hAnsi="Times New Roman" w:cs="Times New Roman"/>
                <w:b/>
              </w:rPr>
              <w:t>Lo</w:t>
            </w:r>
            <w:r>
              <w:rPr>
                <w:rFonts w:ascii="Times New Roman" w:hAnsi="Times New Roman" w:cs="Times New Roman"/>
                <w:b/>
                <w:spacing w:val="-9"/>
              </w:rPr>
              <w:t xml:space="preserve"> </w:t>
            </w:r>
            <w:r>
              <w:rPr>
                <w:rFonts w:ascii="Times New Roman" w:hAnsi="Times New Roman" w:cs="Times New Roman"/>
                <w:b/>
              </w:rPr>
              <w:t>que</w:t>
            </w:r>
            <w:r>
              <w:rPr>
                <w:rFonts w:ascii="Times New Roman" w:hAnsi="Times New Roman" w:cs="Times New Roman"/>
                <w:b/>
                <w:spacing w:val="-10"/>
              </w:rPr>
              <w:t xml:space="preserve"> </w:t>
            </w:r>
            <w:r>
              <w:rPr>
                <w:rFonts w:ascii="Times New Roman" w:hAnsi="Times New Roman" w:cs="Times New Roman"/>
                <w:b/>
              </w:rPr>
              <w:t>aprendo</w:t>
            </w:r>
            <w:r>
              <w:rPr>
                <w:rFonts w:ascii="Times New Roman" w:hAnsi="Times New Roman" w:cs="Times New Roman"/>
                <w:b/>
                <w:spacing w:val="-9"/>
              </w:rPr>
              <w:t xml:space="preserve"> </w:t>
            </w:r>
            <w:r>
              <w:rPr>
                <w:rFonts w:ascii="Times New Roman" w:hAnsi="Times New Roman" w:cs="Times New Roman"/>
                <w:b/>
              </w:rPr>
              <w:t>en</w:t>
            </w:r>
            <w:r>
              <w:rPr>
                <w:rFonts w:ascii="Times New Roman" w:hAnsi="Times New Roman" w:cs="Times New Roman"/>
                <w:b/>
                <w:spacing w:val="-3"/>
              </w:rPr>
              <w:t xml:space="preserve"> </w:t>
            </w:r>
            <w:r>
              <w:rPr>
                <w:rFonts w:ascii="Times New Roman" w:hAnsi="Times New Roman" w:cs="Times New Roman"/>
                <w:b/>
              </w:rPr>
              <w:t>el establecimiento</w:t>
            </w:r>
            <w:r>
              <w:rPr>
                <w:rFonts w:ascii="Times New Roman" w:hAnsi="Times New Roman" w:cs="Times New Roman"/>
                <w:b/>
                <w:spacing w:val="-10"/>
              </w:rPr>
              <w:t xml:space="preserve"> </w:t>
            </w:r>
            <w:r>
              <w:rPr>
                <w:rFonts w:ascii="Times New Roman" w:hAnsi="Times New Roman" w:cs="Times New Roman"/>
                <w:b/>
              </w:rPr>
              <w:t>no</w:t>
            </w:r>
            <w:r>
              <w:rPr>
                <w:rFonts w:ascii="Times New Roman" w:hAnsi="Times New Roman" w:cs="Times New Roman"/>
                <w:b/>
                <w:spacing w:val="-5"/>
              </w:rPr>
              <w:t xml:space="preserve"> </w:t>
            </w:r>
            <w:r>
              <w:rPr>
                <w:rFonts w:ascii="Times New Roman" w:hAnsi="Times New Roman" w:cs="Times New Roman"/>
                <w:b/>
              </w:rPr>
              <w:t xml:space="preserve">me </w:t>
            </w:r>
            <w:r>
              <w:rPr>
                <w:rFonts w:ascii="Times New Roman" w:hAnsi="Times New Roman" w:cs="Times New Roman"/>
                <w:b/>
                <w:spacing w:val="-2"/>
              </w:rPr>
              <w:t>sirve</w:t>
            </w:r>
          </w:p>
        </w:tc>
        <w:tc>
          <w:tcPr>
            <w:tcW w:w="1260" w:type="pct"/>
            <w:tcBorders>
              <w:top w:val="single" w:sz="4" w:space="0" w:color="auto"/>
              <w:left w:val="none" w:sz="4" w:space="0" w:color="000000"/>
              <w:bottom w:val="single" w:sz="4" w:space="0" w:color="000000"/>
              <w:right w:val="none" w:sz="4" w:space="0" w:color="000000"/>
            </w:tcBorders>
            <w:vAlign w:val="center"/>
          </w:tcPr>
          <w:p w:rsidR="00BB1A0F" w:rsidRDefault="00364EA7">
            <w:pPr>
              <w:pStyle w:val="TableParagraph"/>
              <w:spacing w:before="0"/>
              <w:ind w:right="519"/>
              <w:jc w:val="center"/>
              <w:rPr>
                <w:rFonts w:ascii="Times New Roman" w:hAnsi="Times New Roman" w:cs="Times New Roman"/>
                <w:b/>
              </w:rPr>
            </w:pPr>
            <w:r>
              <w:rPr>
                <w:rFonts w:ascii="Times New Roman" w:hAnsi="Times New Roman" w:cs="Times New Roman"/>
                <w:b/>
                <w:spacing w:val="-2"/>
              </w:rPr>
              <w:t>Frecuencia</w:t>
            </w:r>
          </w:p>
        </w:tc>
        <w:tc>
          <w:tcPr>
            <w:tcW w:w="906" w:type="pct"/>
            <w:tcBorders>
              <w:top w:val="single" w:sz="4" w:space="0" w:color="auto"/>
              <w:left w:val="none" w:sz="4" w:space="0" w:color="000000"/>
              <w:bottom w:val="single" w:sz="4" w:space="0" w:color="000000"/>
              <w:right w:val="none" w:sz="4" w:space="0" w:color="000000"/>
            </w:tcBorders>
            <w:vAlign w:val="center"/>
          </w:tcPr>
          <w:p w:rsidR="00BB1A0F" w:rsidRDefault="00364EA7">
            <w:pPr>
              <w:pStyle w:val="TableParagraph"/>
              <w:spacing w:before="0"/>
              <w:ind w:right="59"/>
              <w:jc w:val="center"/>
              <w:rPr>
                <w:rFonts w:ascii="Times New Roman" w:hAnsi="Times New Roman" w:cs="Times New Roman"/>
                <w:b/>
              </w:rPr>
            </w:pPr>
            <w:r>
              <w:rPr>
                <w:rFonts w:ascii="Times New Roman" w:hAnsi="Times New Roman" w:cs="Times New Roman"/>
                <w:b/>
                <w:spacing w:val="-2"/>
              </w:rPr>
              <w:t>Porcentaje</w:t>
            </w:r>
          </w:p>
        </w:tc>
      </w:tr>
      <w:tr w:rsidR="00BB1A0F">
        <w:trPr>
          <w:trHeight w:val="373"/>
        </w:trPr>
        <w:tc>
          <w:tcPr>
            <w:tcW w:w="2834"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De</w:t>
            </w:r>
            <w:r>
              <w:rPr>
                <w:rFonts w:ascii="Times New Roman" w:hAnsi="Times New Roman" w:cs="Times New Roman"/>
                <w:spacing w:val="-8"/>
              </w:rPr>
              <w:t xml:space="preserve"> </w:t>
            </w:r>
            <w:r>
              <w:rPr>
                <w:rFonts w:ascii="Times New Roman" w:hAnsi="Times New Roman" w:cs="Times New Roman"/>
                <w:spacing w:val="-2"/>
              </w:rPr>
              <w:t>acuerdo</w:t>
            </w:r>
          </w:p>
        </w:tc>
        <w:tc>
          <w:tcPr>
            <w:tcW w:w="1260"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515"/>
              <w:jc w:val="center"/>
              <w:rPr>
                <w:rFonts w:ascii="Times New Roman" w:hAnsi="Times New Roman" w:cs="Times New Roman"/>
              </w:rPr>
            </w:pPr>
            <w:r>
              <w:rPr>
                <w:rFonts w:ascii="Times New Roman" w:hAnsi="Times New Roman" w:cs="Times New Roman"/>
                <w:spacing w:val="-5"/>
              </w:rPr>
              <w:t>61</w:t>
            </w:r>
          </w:p>
        </w:tc>
        <w:tc>
          <w:tcPr>
            <w:tcW w:w="906"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59"/>
              <w:jc w:val="center"/>
              <w:rPr>
                <w:rFonts w:ascii="Times New Roman" w:hAnsi="Times New Roman" w:cs="Times New Roman"/>
              </w:rPr>
            </w:pPr>
            <w:r>
              <w:rPr>
                <w:rFonts w:ascii="Times New Roman" w:hAnsi="Times New Roman" w:cs="Times New Roman"/>
                <w:spacing w:val="-4"/>
              </w:rPr>
              <w:t>12,9</w:t>
            </w:r>
          </w:p>
        </w:tc>
      </w:tr>
      <w:tr w:rsidR="00BB1A0F">
        <w:trPr>
          <w:trHeight w:val="319"/>
        </w:trPr>
        <w:tc>
          <w:tcPr>
            <w:tcW w:w="2834" w:type="pct"/>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En</w:t>
            </w:r>
            <w:r>
              <w:rPr>
                <w:rFonts w:ascii="Times New Roman" w:hAnsi="Times New Roman" w:cs="Times New Roman"/>
                <w:spacing w:val="-1"/>
              </w:rPr>
              <w:t xml:space="preserve"> </w:t>
            </w:r>
            <w:r>
              <w:rPr>
                <w:rFonts w:ascii="Times New Roman" w:hAnsi="Times New Roman" w:cs="Times New Roman"/>
                <w:spacing w:val="-2"/>
              </w:rPr>
              <w:t>desacuerdo</w:t>
            </w:r>
          </w:p>
        </w:tc>
        <w:tc>
          <w:tcPr>
            <w:tcW w:w="1260" w:type="pct"/>
            <w:vAlign w:val="center"/>
          </w:tcPr>
          <w:p w:rsidR="00BB1A0F" w:rsidRDefault="00364EA7">
            <w:pPr>
              <w:pStyle w:val="TableParagraph"/>
              <w:spacing w:before="0"/>
              <w:ind w:right="517"/>
              <w:jc w:val="center"/>
              <w:rPr>
                <w:rFonts w:ascii="Times New Roman" w:hAnsi="Times New Roman" w:cs="Times New Roman"/>
              </w:rPr>
            </w:pPr>
            <w:r>
              <w:rPr>
                <w:rFonts w:ascii="Times New Roman" w:hAnsi="Times New Roman" w:cs="Times New Roman"/>
                <w:spacing w:val="-5"/>
              </w:rPr>
              <w:t>186</w:t>
            </w:r>
          </w:p>
        </w:tc>
        <w:tc>
          <w:tcPr>
            <w:tcW w:w="906" w:type="pct"/>
            <w:vAlign w:val="center"/>
          </w:tcPr>
          <w:p w:rsidR="00BB1A0F" w:rsidRDefault="00364EA7">
            <w:pPr>
              <w:pStyle w:val="TableParagraph"/>
              <w:spacing w:before="0"/>
              <w:ind w:right="55"/>
              <w:jc w:val="center"/>
              <w:rPr>
                <w:rFonts w:ascii="Times New Roman" w:hAnsi="Times New Roman" w:cs="Times New Roman"/>
              </w:rPr>
            </w:pPr>
            <w:r>
              <w:rPr>
                <w:rFonts w:ascii="Times New Roman" w:hAnsi="Times New Roman" w:cs="Times New Roman"/>
                <w:spacing w:val="-4"/>
              </w:rPr>
              <w:t>39,2</w:t>
            </w:r>
          </w:p>
        </w:tc>
      </w:tr>
      <w:tr w:rsidR="00BB1A0F">
        <w:trPr>
          <w:trHeight w:val="319"/>
        </w:trPr>
        <w:tc>
          <w:tcPr>
            <w:tcW w:w="2834" w:type="pct"/>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lastRenderedPageBreak/>
              <w:t>Totalmente</w:t>
            </w:r>
            <w:r>
              <w:rPr>
                <w:rFonts w:ascii="Times New Roman" w:hAnsi="Times New Roman" w:cs="Times New Roman"/>
                <w:spacing w:val="-8"/>
              </w:rPr>
              <w:t xml:space="preserve"> </w:t>
            </w:r>
            <w:r>
              <w:rPr>
                <w:rFonts w:ascii="Times New Roman" w:hAnsi="Times New Roman" w:cs="Times New Roman"/>
              </w:rPr>
              <w:t>de</w:t>
            </w:r>
            <w:r>
              <w:rPr>
                <w:rFonts w:ascii="Times New Roman" w:hAnsi="Times New Roman" w:cs="Times New Roman"/>
                <w:spacing w:val="-7"/>
              </w:rPr>
              <w:t xml:space="preserve"> </w:t>
            </w:r>
            <w:r>
              <w:rPr>
                <w:rFonts w:ascii="Times New Roman" w:hAnsi="Times New Roman" w:cs="Times New Roman"/>
                <w:spacing w:val="-2"/>
              </w:rPr>
              <w:t>acuerdo</w:t>
            </w:r>
          </w:p>
        </w:tc>
        <w:tc>
          <w:tcPr>
            <w:tcW w:w="1260" w:type="pct"/>
            <w:vAlign w:val="center"/>
          </w:tcPr>
          <w:p w:rsidR="00BB1A0F" w:rsidRDefault="00364EA7">
            <w:pPr>
              <w:pStyle w:val="TableParagraph"/>
              <w:spacing w:before="0"/>
              <w:ind w:right="520"/>
              <w:jc w:val="center"/>
              <w:rPr>
                <w:rFonts w:ascii="Times New Roman" w:hAnsi="Times New Roman" w:cs="Times New Roman"/>
              </w:rPr>
            </w:pPr>
            <w:r>
              <w:rPr>
                <w:rFonts w:ascii="Times New Roman" w:hAnsi="Times New Roman" w:cs="Times New Roman"/>
                <w:spacing w:val="-5"/>
              </w:rPr>
              <w:t>25</w:t>
            </w:r>
          </w:p>
        </w:tc>
        <w:tc>
          <w:tcPr>
            <w:tcW w:w="906" w:type="pct"/>
            <w:vAlign w:val="center"/>
          </w:tcPr>
          <w:p w:rsidR="00BB1A0F" w:rsidRDefault="00364EA7">
            <w:pPr>
              <w:pStyle w:val="TableParagraph"/>
              <w:spacing w:before="0"/>
              <w:ind w:right="56"/>
              <w:jc w:val="center"/>
              <w:rPr>
                <w:rFonts w:ascii="Times New Roman" w:hAnsi="Times New Roman" w:cs="Times New Roman"/>
              </w:rPr>
            </w:pPr>
            <w:r>
              <w:rPr>
                <w:rFonts w:ascii="Times New Roman" w:hAnsi="Times New Roman" w:cs="Times New Roman"/>
                <w:spacing w:val="-5"/>
              </w:rPr>
              <w:t>5,3</w:t>
            </w:r>
          </w:p>
        </w:tc>
      </w:tr>
      <w:tr w:rsidR="00BB1A0F">
        <w:trPr>
          <w:trHeight w:val="314"/>
        </w:trPr>
        <w:tc>
          <w:tcPr>
            <w:tcW w:w="2834" w:type="pct"/>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Totalmente</w:t>
            </w:r>
            <w:r>
              <w:rPr>
                <w:rFonts w:ascii="Times New Roman" w:hAnsi="Times New Roman" w:cs="Times New Roman"/>
                <w:spacing w:val="-9"/>
              </w:rPr>
              <w:t xml:space="preserve"> </w:t>
            </w:r>
            <w:r>
              <w:rPr>
                <w:rFonts w:ascii="Times New Roman" w:hAnsi="Times New Roman" w:cs="Times New Roman"/>
              </w:rPr>
              <w:t>en</w:t>
            </w:r>
            <w:r>
              <w:rPr>
                <w:rFonts w:ascii="Times New Roman" w:hAnsi="Times New Roman" w:cs="Times New Roman"/>
                <w:spacing w:val="-9"/>
              </w:rPr>
              <w:t xml:space="preserve"> </w:t>
            </w:r>
            <w:r>
              <w:rPr>
                <w:rFonts w:ascii="Times New Roman" w:hAnsi="Times New Roman" w:cs="Times New Roman"/>
                <w:spacing w:val="-2"/>
              </w:rPr>
              <w:t>desacuerdo</w:t>
            </w:r>
          </w:p>
        </w:tc>
        <w:tc>
          <w:tcPr>
            <w:tcW w:w="1260" w:type="pct"/>
            <w:vAlign w:val="center"/>
          </w:tcPr>
          <w:p w:rsidR="00BB1A0F" w:rsidRDefault="00364EA7">
            <w:pPr>
              <w:pStyle w:val="TableParagraph"/>
              <w:spacing w:before="0"/>
              <w:ind w:right="518"/>
              <w:jc w:val="center"/>
              <w:rPr>
                <w:rFonts w:ascii="Times New Roman" w:hAnsi="Times New Roman" w:cs="Times New Roman"/>
              </w:rPr>
            </w:pPr>
            <w:r>
              <w:rPr>
                <w:rFonts w:ascii="Times New Roman" w:hAnsi="Times New Roman" w:cs="Times New Roman"/>
                <w:spacing w:val="-5"/>
              </w:rPr>
              <w:t>202</w:t>
            </w:r>
          </w:p>
        </w:tc>
        <w:tc>
          <w:tcPr>
            <w:tcW w:w="906" w:type="pct"/>
            <w:vAlign w:val="center"/>
          </w:tcPr>
          <w:p w:rsidR="00BB1A0F" w:rsidRDefault="00364EA7">
            <w:pPr>
              <w:pStyle w:val="TableParagraph"/>
              <w:spacing w:before="0"/>
              <w:ind w:right="59"/>
              <w:jc w:val="center"/>
              <w:rPr>
                <w:rFonts w:ascii="Times New Roman" w:hAnsi="Times New Roman" w:cs="Times New Roman"/>
              </w:rPr>
            </w:pPr>
            <w:r>
              <w:rPr>
                <w:rFonts w:ascii="Times New Roman" w:hAnsi="Times New Roman" w:cs="Times New Roman"/>
                <w:spacing w:val="-4"/>
              </w:rPr>
              <w:t>42,6</w:t>
            </w:r>
          </w:p>
        </w:tc>
      </w:tr>
      <w:tr w:rsidR="00BB1A0F">
        <w:trPr>
          <w:trHeight w:val="272"/>
        </w:trPr>
        <w:tc>
          <w:tcPr>
            <w:tcW w:w="2834"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spacing w:val="-2"/>
              </w:rPr>
              <w:t>Total</w:t>
            </w:r>
          </w:p>
        </w:tc>
        <w:tc>
          <w:tcPr>
            <w:tcW w:w="1260"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516"/>
              <w:jc w:val="center"/>
              <w:rPr>
                <w:rFonts w:ascii="Times New Roman" w:hAnsi="Times New Roman" w:cs="Times New Roman"/>
              </w:rPr>
            </w:pPr>
            <w:r>
              <w:rPr>
                <w:rFonts w:ascii="Times New Roman" w:hAnsi="Times New Roman" w:cs="Times New Roman"/>
                <w:spacing w:val="-5"/>
              </w:rPr>
              <w:t>474</w:t>
            </w:r>
          </w:p>
        </w:tc>
        <w:tc>
          <w:tcPr>
            <w:tcW w:w="906"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60"/>
              <w:jc w:val="center"/>
              <w:rPr>
                <w:rFonts w:ascii="Times New Roman" w:hAnsi="Times New Roman" w:cs="Times New Roman"/>
              </w:rPr>
            </w:pPr>
            <w:r>
              <w:rPr>
                <w:rFonts w:ascii="Times New Roman" w:hAnsi="Times New Roman" w:cs="Times New Roman"/>
                <w:spacing w:val="-2"/>
              </w:rPr>
              <w:t>100,0</w:t>
            </w:r>
          </w:p>
        </w:tc>
      </w:tr>
    </w:tbl>
    <w:p w:rsidR="00BB1A0F" w:rsidRDefault="00364EA7">
      <w:pPr>
        <w:pStyle w:val="BodyText"/>
        <w:ind w:right="232" w:firstLine="709"/>
        <w:jc w:val="both"/>
        <w:rPr>
          <w:rFonts w:ascii="Times New Roman" w:hAnsi="Times New Roman" w:cs="Times New Roman"/>
          <w:sz w:val="20"/>
          <w:szCs w:val="20"/>
          <w:lang w:val="es-ES"/>
        </w:rPr>
      </w:pPr>
      <w:r>
        <w:rPr>
          <w:rFonts w:ascii="Times New Roman" w:hAnsi="Times New Roman" w:cs="Times New Roman"/>
          <w:sz w:val="20"/>
          <w:szCs w:val="20"/>
          <w:lang w:val="es-CO"/>
        </w:rPr>
        <w:t>Ante la pregunta de: “Lo que aprende en la escuela no le sirve”, la muestra en un 81.8 % está en desacuerdo: 42 % está en desacuerdo total y un 39.2 %, en desacuerdo. Mientras que un 18.2%</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indica</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que,</w:t>
      </w:r>
      <w:r>
        <w:rPr>
          <w:rFonts w:ascii="Times New Roman" w:hAnsi="Times New Roman" w:cs="Times New Roman"/>
          <w:spacing w:val="-5"/>
          <w:sz w:val="20"/>
          <w:szCs w:val="20"/>
          <w:lang w:val="es-CO"/>
        </w:rPr>
        <w:t xml:space="preserve"> </w:t>
      </w:r>
      <w:r>
        <w:rPr>
          <w:rFonts w:ascii="Times New Roman" w:hAnsi="Times New Roman" w:cs="Times New Roman"/>
          <w:sz w:val="20"/>
          <w:szCs w:val="20"/>
          <w:lang w:val="es-CO"/>
        </w:rPr>
        <w:t>en</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efecto,</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lo</w:t>
      </w:r>
      <w:r>
        <w:rPr>
          <w:rFonts w:ascii="Times New Roman" w:hAnsi="Times New Roman" w:cs="Times New Roman"/>
          <w:spacing w:val="-8"/>
          <w:sz w:val="20"/>
          <w:szCs w:val="20"/>
          <w:lang w:val="es-CO"/>
        </w:rPr>
        <w:t xml:space="preserve"> </w:t>
      </w:r>
      <w:r>
        <w:rPr>
          <w:rFonts w:ascii="Times New Roman" w:hAnsi="Times New Roman" w:cs="Times New Roman"/>
          <w:sz w:val="20"/>
          <w:szCs w:val="20"/>
          <w:lang w:val="es-CO"/>
        </w:rPr>
        <w:t>que</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aprende</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en</w:t>
      </w:r>
      <w:r>
        <w:rPr>
          <w:rFonts w:ascii="Times New Roman" w:hAnsi="Times New Roman" w:cs="Times New Roman"/>
          <w:spacing w:val="-10"/>
          <w:sz w:val="20"/>
          <w:szCs w:val="20"/>
          <w:lang w:val="es-CO"/>
        </w:rPr>
        <w:t xml:space="preserve"> </w:t>
      </w:r>
      <w:r>
        <w:rPr>
          <w:rFonts w:ascii="Times New Roman" w:hAnsi="Times New Roman" w:cs="Times New Roman"/>
          <w:sz w:val="20"/>
          <w:szCs w:val="20"/>
          <w:lang w:val="es-CO"/>
        </w:rPr>
        <w:t>la</w:t>
      </w:r>
      <w:r>
        <w:rPr>
          <w:rFonts w:ascii="Times New Roman" w:hAnsi="Times New Roman" w:cs="Times New Roman"/>
          <w:spacing w:val="-5"/>
          <w:sz w:val="20"/>
          <w:szCs w:val="20"/>
          <w:lang w:val="es-CO"/>
        </w:rPr>
        <w:t xml:space="preserve"> </w:t>
      </w:r>
      <w:r>
        <w:rPr>
          <w:rFonts w:ascii="Times New Roman" w:hAnsi="Times New Roman" w:cs="Times New Roman"/>
          <w:sz w:val="20"/>
          <w:szCs w:val="20"/>
          <w:lang w:val="es-CO"/>
        </w:rPr>
        <w:t>escuela</w:t>
      </w:r>
      <w:r>
        <w:rPr>
          <w:rFonts w:ascii="Times New Roman" w:hAnsi="Times New Roman" w:cs="Times New Roman"/>
          <w:spacing w:val="-8"/>
          <w:sz w:val="20"/>
          <w:szCs w:val="20"/>
          <w:lang w:val="es-CO"/>
        </w:rPr>
        <w:t xml:space="preserve"> </w:t>
      </w:r>
      <w:r>
        <w:rPr>
          <w:rFonts w:ascii="Times New Roman" w:hAnsi="Times New Roman" w:cs="Times New Roman"/>
          <w:sz w:val="20"/>
          <w:szCs w:val="20"/>
          <w:lang w:val="es-CO"/>
        </w:rPr>
        <w:t>no</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le</w:t>
      </w:r>
      <w:r>
        <w:rPr>
          <w:rFonts w:ascii="Times New Roman" w:hAnsi="Times New Roman" w:cs="Times New Roman"/>
          <w:spacing w:val="-5"/>
          <w:sz w:val="20"/>
          <w:szCs w:val="20"/>
          <w:lang w:val="es-CO"/>
        </w:rPr>
        <w:t xml:space="preserve"> </w:t>
      </w:r>
      <w:r>
        <w:rPr>
          <w:rFonts w:ascii="Times New Roman" w:hAnsi="Times New Roman" w:cs="Times New Roman"/>
          <w:sz w:val="20"/>
          <w:szCs w:val="20"/>
          <w:lang w:val="es-CO"/>
        </w:rPr>
        <w:t>sirve:</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un</w:t>
      </w:r>
      <w:r>
        <w:rPr>
          <w:rFonts w:ascii="Times New Roman" w:hAnsi="Times New Roman" w:cs="Times New Roman"/>
          <w:spacing w:val="-9"/>
          <w:sz w:val="20"/>
          <w:szCs w:val="20"/>
          <w:lang w:val="es-CO"/>
        </w:rPr>
        <w:t xml:space="preserve"> </w:t>
      </w:r>
      <w:r>
        <w:rPr>
          <w:rFonts w:ascii="Times New Roman" w:hAnsi="Times New Roman" w:cs="Times New Roman"/>
          <w:sz w:val="20"/>
          <w:szCs w:val="20"/>
          <w:lang w:val="es-CO"/>
        </w:rPr>
        <w:t>12.9</w:t>
      </w:r>
      <w:r>
        <w:rPr>
          <w:rFonts w:ascii="Times New Roman" w:hAnsi="Times New Roman" w:cs="Times New Roman"/>
          <w:spacing w:val="-8"/>
          <w:sz w:val="20"/>
          <w:szCs w:val="20"/>
          <w:lang w:val="es-CO"/>
        </w:rPr>
        <w:t xml:space="preserve"> </w:t>
      </w:r>
      <w:r>
        <w:rPr>
          <w:rFonts w:ascii="Times New Roman" w:hAnsi="Times New Roman" w:cs="Times New Roman"/>
          <w:sz w:val="20"/>
          <w:szCs w:val="20"/>
          <w:lang w:val="es-CO"/>
        </w:rPr>
        <w:t>%</w:t>
      </w:r>
      <w:r>
        <w:rPr>
          <w:rFonts w:ascii="Times New Roman" w:hAnsi="Times New Roman" w:cs="Times New Roman"/>
          <w:spacing w:val="-6"/>
          <w:sz w:val="20"/>
          <w:szCs w:val="20"/>
          <w:lang w:val="es-CO"/>
        </w:rPr>
        <w:t xml:space="preserve"> </w:t>
      </w:r>
      <w:r>
        <w:rPr>
          <w:rFonts w:ascii="Times New Roman" w:hAnsi="Times New Roman" w:cs="Times New Roman"/>
          <w:sz w:val="20"/>
          <w:szCs w:val="20"/>
          <w:lang w:val="es-CO"/>
        </w:rPr>
        <w:t>en</w:t>
      </w:r>
      <w:r>
        <w:rPr>
          <w:rFonts w:ascii="Times New Roman" w:hAnsi="Times New Roman" w:cs="Times New Roman"/>
          <w:spacing w:val="-10"/>
          <w:sz w:val="20"/>
          <w:szCs w:val="20"/>
          <w:lang w:val="es-CO"/>
        </w:rPr>
        <w:t xml:space="preserve"> </w:t>
      </w:r>
      <w:r>
        <w:rPr>
          <w:rFonts w:ascii="Times New Roman" w:hAnsi="Times New Roman" w:cs="Times New Roman"/>
          <w:sz w:val="20"/>
          <w:szCs w:val="20"/>
          <w:lang w:val="es-CO"/>
        </w:rPr>
        <w:t>acuerdo</w:t>
      </w:r>
      <w:r>
        <w:rPr>
          <w:rFonts w:ascii="Times New Roman" w:hAnsi="Times New Roman" w:cs="Times New Roman"/>
          <w:spacing w:val="-7"/>
          <w:sz w:val="20"/>
          <w:szCs w:val="20"/>
          <w:lang w:val="es-CO"/>
        </w:rPr>
        <w:t xml:space="preserve"> </w:t>
      </w:r>
      <w:r>
        <w:rPr>
          <w:rFonts w:ascii="Times New Roman" w:hAnsi="Times New Roman" w:cs="Times New Roman"/>
          <w:sz w:val="20"/>
          <w:szCs w:val="20"/>
          <w:lang w:val="es-CO"/>
        </w:rPr>
        <w:t>y</w:t>
      </w:r>
      <w:r>
        <w:rPr>
          <w:rFonts w:ascii="Times New Roman" w:hAnsi="Times New Roman" w:cs="Times New Roman"/>
          <w:spacing w:val="-2"/>
          <w:sz w:val="20"/>
          <w:szCs w:val="20"/>
          <w:lang w:val="es-CO"/>
        </w:rPr>
        <w:t xml:space="preserve"> </w:t>
      </w:r>
      <w:r>
        <w:rPr>
          <w:rFonts w:ascii="Times New Roman" w:hAnsi="Times New Roman" w:cs="Times New Roman"/>
          <w:sz w:val="20"/>
          <w:szCs w:val="20"/>
          <w:lang w:val="es-CO"/>
        </w:rPr>
        <w:t>un</w:t>
      </w:r>
      <w:r>
        <w:rPr>
          <w:rFonts w:ascii="Times New Roman" w:hAnsi="Times New Roman" w:cs="Times New Roman"/>
          <w:spacing w:val="-8"/>
          <w:sz w:val="20"/>
          <w:szCs w:val="20"/>
          <w:lang w:val="es-CO"/>
        </w:rPr>
        <w:t xml:space="preserve"> </w:t>
      </w:r>
      <w:r>
        <w:rPr>
          <w:rFonts w:ascii="Times New Roman" w:hAnsi="Times New Roman" w:cs="Times New Roman"/>
          <w:spacing w:val="-5"/>
          <w:sz w:val="20"/>
          <w:szCs w:val="20"/>
          <w:lang w:val="es-CO"/>
        </w:rPr>
        <w:t>5.3</w:t>
      </w:r>
      <w:r>
        <w:rPr>
          <w:rFonts w:ascii="Times New Roman" w:hAnsi="Times New Roman" w:cs="Times New Roman"/>
          <w:sz w:val="20"/>
          <w:szCs w:val="20"/>
          <w:lang w:val="es-CO"/>
        </w:rPr>
        <w:t>%</w:t>
      </w:r>
      <w:r>
        <w:rPr>
          <w:rFonts w:ascii="Times New Roman" w:hAnsi="Times New Roman" w:cs="Times New Roman"/>
          <w:spacing w:val="-5"/>
          <w:sz w:val="20"/>
          <w:szCs w:val="20"/>
          <w:lang w:val="es-CO"/>
        </w:rPr>
        <w:t xml:space="preserve"> </w:t>
      </w:r>
      <w:r>
        <w:rPr>
          <w:rFonts w:ascii="Times New Roman" w:hAnsi="Times New Roman" w:cs="Times New Roman"/>
          <w:sz w:val="20"/>
          <w:szCs w:val="20"/>
          <w:lang w:val="es-CO"/>
        </w:rPr>
        <w:t>en</w:t>
      </w:r>
      <w:r>
        <w:rPr>
          <w:rFonts w:ascii="Times New Roman" w:hAnsi="Times New Roman" w:cs="Times New Roman"/>
          <w:spacing w:val="-8"/>
          <w:sz w:val="20"/>
          <w:szCs w:val="20"/>
          <w:lang w:val="es-CO"/>
        </w:rPr>
        <w:t xml:space="preserve"> </w:t>
      </w:r>
      <w:r>
        <w:rPr>
          <w:rFonts w:ascii="Times New Roman" w:hAnsi="Times New Roman" w:cs="Times New Roman"/>
          <w:sz w:val="20"/>
          <w:szCs w:val="20"/>
          <w:lang w:val="es-CO"/>
        </w:rPr>
        <w:t>total</w:t>
      </w:r>
      <w:r>
        <w:rPr>
          <w:rFonts w:ascii="Times New Roman" w:hAnsi="Times New Roman" w:cs="Times New Roman"/>
          <w:spacing w:val="-2"/>
          <w:sz w:val="20"/>
          <w:szCs w:val="20"/>
          <w:lang w:val="es-CO"/>
        </w:rPr>
        <w:t xml:space="preserve"> acuerdo.</w:t>
      </w:r>
    </w:p>
    <w:p w:rsidR="00BB1A0F" w:rsidRDefault="00BB1A0F">
      <w:pPr>
        <w:spacing w:after="0" w:line="240" w:lineRule="auto"/>
        <w:jc w:val="both"/>
        <w:rPr>
          <w:rFonts w:ascii="Times New Roman" w:hAnsi="Times New Roman" w:cs="Times New Roman"/>
          <w:b/>
          <w:bCs/>
          <w:sz w:val="20"/>
          <w:szCs w:val="20"/>
        </w:rPr>
      </w:pPr>
    </w:p>
    <w:p w:rsidR="00BB1A0F" w:rsidRDefault="00BB1A0F">
      <w:pPr>
        <w:spacing w:after="0" w:line="240" w:lineRule="auto"/>
        <w:jc w:val="both"/>
        <w:rPr>
          <w:rFonts w:ascii="Times New Roman" w:hAnsi="Times New Roman" w:cs="Times New Roman"/>
          <w:b/>
          <w:bCs/>
          <w:spacing w:val="-10"/>
          <w:sz w:val="20"/>
          <w:szCs w:val="20"/>
        </w:rPr>
      </w:pPr>
    </w:p>
    <w:p w:rsidR="00BB1A0F" w:rsidRDefault="00364EA7">
      <w:pPr>
        <w:spacing w:after="0" w:line="240" w:lineRule="auto"/>
        <w:jc w:val="both"/>
        <w:rPr>
          <w:rFonts w:ascii="Times New Roman" w:hAnsi="Times New Roman" w:cs="Times New Roman"/>
          <w:b/>
          <w:bCs/>
          <w:spacing w:val="-10"/>
          <w:sz w:val="20"/>
          <w:szCs w:val="20"/>
        </w:rPr>
      </w:pPr>
      <w:r>
        <w:rPr>
          <w:rFonts w:ascii="Times New Roman" w:hAnsi="Times New Roman" w:cs="Times New Roman"/>
          <w:b/>
          <w:sz w:val="20"/>
          <w:szCs w:val="20"/>
        </w:rPr>
        <w:t>Tabla</w:t>
      </w:r>
      <w:r>
        <w:rPr>
          <w:rFonts w:ascii="Times New Roman" w:hAnsi="Times New Roman" w:cs="Times New Roman"/>
          <w:b/>
          <w:spacing w:val="-7"/>
          <w:sz w:val="20"/>
          <w:szCs w:val="20"/>
        </w:rPr>
        <w:t xml:space="preserve"> </w:t>
      </w:r>
      <w:r>
        <w:rPr>
          <w:rFonts w:ascii="Times New Roman" w:hAnsi="Times New Roman" w:cs="Times New Roman"/>
          <w:b/>
          <w:spacing w:val="-10"/>
          <w:sz w:val="20"/>
          <w:szCs w:val="20"/>
        </w:rPr>
        <w:t>4</w:t>
      </w:r>
    </w:p>
    <w:p w:rsidR="00BB1A0F" w:rsidRDefault="00364EA7">
      <w:pPr>
        <w:pStyle w:val="Heading2"/>
        <w:jc w:val="both"/>
        <w:rPr>
          <w:rFonts w:ascii="Times New Roman" w:hAnsi="Times New Roman" w:cs="Times New Roman"/>
          <w:b w:val="0"/>
          <w:i/>
          <w:sz w:val="20"/>
          <w:szCs w:val="20"/>
        </w:rPr>
      </w:pPr>
      <w:bookmarkStart w:id="2" w:name="Los_maestros_no_motivan_para_la_educació"/>
      <w:bookmarkEnd w:id="2"/>
      <w:r>
        <w:rPr>
          <w:rFonts w:ascii="Times New Roman" w:hAnsi="Times New Roman" w:cs="Times New Roman"/>
          <w:b w:val="0"/>
          <w:i/>
          <w:sz w:val="20"/>
          <w:szCs w:val="20"/>
        </w:rPr>
        <w:t>Los</w:t>
      </w:r>
      <w:r>
        <w:rPr>
          <w:rFonts w:ascii="Times New Roman" w:hAnsi="Times New Roman" w:cs="Times New Roman"/>
          <w:b w:val="0"/>
          <w:i/>
          <w:spacing w:val="-5"/>
          <w:sz w:val="20"/>
          <w:szCs w:val="20"/>
        </w:rPr>
        <w:t xml:space="preserve"> </w:t>
      </w:r>
      <w:r>
        <w:rPr>
          <w:rFonts w:ascii="Times New Roman" w:hAnsi="Times New Roman" w:cs="Times New Roman"/>
          <w:b w:val="0"/>
          <w:i/>
          <w:sz w:val="20"/>
          <w:szCs w:val="20"/>
        </w:rPr>
        <w:t>maestros</w:t>
      </w:r>
      <w:r>
        <w:rPr>
          <w:rFonts w:ascii="Times New Roman" w:hAnsi="Times New Roman" w:cs="Times New Roman"/>
          <w:b w:val="0"/>
          <w:i/>
          <w:spacing w:val="-5"/>
          <w:sz w:val="20"/>
          <w:szCs w:val="20"/>
        </w:rPr>
        <w:t xml:space="preserve"> </w:t>
      </w:r>
      <w:r>
        <w:rPr>
          <w:rFonts w:ascii="Times New Roman" w:hAnsi="Times New Roman" w:cs="Times New Roman"/>
          <w:b w:val="0"/>
          <w:i/>
          <w:sz w:val="20"/>
          <w:szCs w:val="20"/>
        </w:rPr>
        <w:t>no</w:t>
      </w:r>
      <w:r>
        <w:rPr>
          <w:rFonts w:ascii="Times New Roman" w:hAnsi="Times New Roman" w:cs="Times New Roman"/>
          <w:b w:val="0"/>
          <w:i/>
          <w:spacing w:val="-8"/>
          <w:sz w:val="20"/>
          <w:szCs w:val="20"/>
        </w:rPr>
        <w:t xml:space="preserve"> </w:t>
      </w:r>
      <w:r>
        <w:rPr>
          <w:rFonts w:ascii="Times New Roman" w:hAnsi="Times New Roman" w:cs="Times New Roman"/>
          <w:b w:val="0"/>
          <w:i/>
          <w:sz w:val="20"/>
          <w:szCs w:val="20"/>
        </w:rPr>
        <w:t>motivan</w:t>
      </w:r>
      <w:r>
        <w:rPr>
          <w:rFonts w:ascii="Times New Roman" w:hAnsi="Times New Roman" w:cs="Times New Roman"/>
          <w:b w:val="0"/>
          <w:i/>
          <w:spacing w:val="-5"/>
          <w:sz w:val="20"/>
          <w:szCs w:val="20"/>
        </w:rPr>
        <w:t xml:space="preserve"> </w:t>
      </w:r>
      <w:r>
        <w:rPr>
          <w:rFonts w:ascii="Times New Roman" w:hAnsi="Times New Roman" w:cs="Times New Roman"/>
          <w:b w:val="0"/>
          <w:i/>
          <w:sz w:val="20"/>
          <w:szCs w:val="20"/>
        </w:rPr>
        <w:t>para</w:t>
      </w:r>
      <w:r>
        <w:rPr>
          <w:rFonts w:ascii="Times New Roman" w:hAnsi="Times New Roman" w:cs="Times New Roman"/>
          <w:b w:val="0"/>
          <w:i/>
          <w:spacing w:val="-3"/>
          <w:sz w:val="20"/>
          <w:szCs w:val="20"/>
        </w:rPr>
        <w:t xml:space="preserve"> </w:t>
      </w:r>
      <w:r>
        <w:rPr>
          <w:rFonts w:ascii="Times New Roman" w:hAnsi="Times New Roman" w:cs="Times New Roman"/>
          <w:b w:val="0"/>
          <w:i/>
          <w:sz w:val="20"/>
          <w:szCs w:val="20"/>
        </w:rPr>
        <w:t>la</w:t>
      </w:r>
      <w:r>
        <w:rPr>
          <w:rFonts w:ascii="Times New Roman" w:hAnsi="Times New Roman" w:cs="Times New Roman"/>
          <w:b w:val="0"/>
          <w:i/>
          <w:spacing w:val="-9"/>
          <w:sz w:val="20"/>
          <w:szCs w:val="20"/>
        </w:rPr>
        <w:t xml:space="preserve"> </w:t>
      </w:r>
      <w:r>
        <w:rPr>
          <w:rFonts w:ascii="Times New Roman" w:hAnsi="Times New Roman" w:cs="Times New Roman"/>
          <w:b w:val="0"/>
          <w:i/>
          <w:spacing w:val="-2"/>
          <w:sz w:val="20"/>
          <w:szCs w:val="20"/>
        </w:rPr>
        <w:t>educación</w:t>
      </w:r>
    </w:p>
    <w:tbl>
      <w:tblPr>
        <w:tblStyle w:val="TableNormal1"/>
        <w:tblW w:w="5000" w:type="pct"/>
        <w:tblInd w:w="0" w:type="dxa"/>
        <w:tblLook w:val="01E0" w:firstRow="1" w:lastRow="1" w:firstColumn="1" w:lastColumn="1" w:noHBand="0" w:noVBand="0"/>
      </w:tblPr>
      <w:tblGrid>
        <w:gridCol w:w="4812"/>
        <w:gridCol w:w="3250"/>
        <w:gridCol w:w="2018"/>
      </w:tblGrid>
      <w:tr w:rsidR="00BB1A0F">
        <w:trPr>
          <w:trHeight w:val="547"/>
        </w:trPr>
        <w:tc>
          <w:tcPr>
            <w:tcW w:w="2387"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8"/>
              <w:jc w:val="center"/>
              <w:rPr>
                <w:rFonts w:ascii="Times New Roman" w:hAnsi="Times New Roman" w:cs="Times New Roman"/>
                <w:b/>
              </w:rPr>
            </w:pPr>
            <w:r>
              <w:rPr>
                <w:rFonts w:ascii="Times New Roman" w:hAnsi="Times New Roman" w:cs="Times New Roman"/>
                <w:b/>
              </w:rPr>
              <w:t>Falta</w:t>
            </w:r>
            <w:r>
              <w:rPr>
                <w:rFonts w:ascii="Times New Roman" w:hAnsi="Times New Roman" w:cs="Times New Roman"/>
                <w:b/>
                <w:spacing w:val="-15"/>
              </w:rPr>
              <w:t xml:space="preserve"> </w:t>
            </w:r>
            <w:r>
              <w:rPr>
                <w:rFonts w:ascii="Times New Roman" w:hAnsi="Times New Roman" w:cs="Times New Roman"/>
                <w:b/>
              </w:rPr>
              <w:t>motivación</w:t>
            </w:r>
            <w:r>
              <w:rPr>
                <w:rFonts w:ascii="Times New Roman" w:hAnsi="Times New Roman" w:cs="Times New Roman"/>
                <w:b/>
                <w:spacing w:val="-14"/>
              </w:rPr>
              <w:t xml:space="preserve"> </w:t>
            </w:r>
            <w:r>
              <w:rPr>
                <w:rFonts w:ascii="Times New Roman" w:hAnsi="Times New Roman" w:cs="Times New Roman"/>
                <w:b/>
              </w:rPr>
              <w:t xml:space="preserve">por </w:t>
            </w:r>
            <w:r>
              <w:rPr>
                <w:rFonts w:ascii="Times New Roman" w:hAnsi="Times New Roman" w:cs="Times New Roman"/>
                <w:b/>
                <w:spacing w:val="-2"/>
              </w:rPr>
              <w:t>maestros</w:t>
            </w:r>
          </w:p>
        </w:tc>
        <w:tc>
          <w:tcPr>
            <w:tcW w:w="1612"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347"/>
              <w:jc w:val="center"/>
              <w:rPr>
                <w:rFonts w:ascii="Times New Roman" w:hAnsi="Times New Roman" w:cs="Times New Roman"/>
                <w:b/>
              </w:rPr>
            </w:pPr>
            <w:r>
              <w:rPr>
                <w:rFonts w:ascii="Times New Roman" w:hAnsi="Times New Roman" w:cs="Times New Roman"/>
                <w:b/>
                <w:spacing w:val="-2"/>
              </w:rPr>
              <w:t>Frecuencia</w:t>
            </w:r>
          </w:p>
        </w:tc>
        <w:tc>
          <w:tcPr>
            <w:tcW w:w="1001"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61"/>
              <w:jc w:val="center"/>
              <w:rPr>
                <w:rFonts w:ascii="Times New Roman" w:hAnsi="Times New Roman" w:cs="Times New Roman"/>
                <w:b/>
              </w:rPr>
            </w:pPr>
            <w:r>
              <w:rPr>
                <w:rFonts w:ascii="Times New Roman" w:hAnsi="Times New Roman" w:cs="Times New Roman"/>
                <w:b/>
                <w:spacing w:val="-2"/>
              </w:rPr>
              <w:t>Porcentaje</w:t>
            </w:r>
          </w:p>
        </w:tc>
      </w:tr>
      <w:tr w:rsidR="00BB1A0F">
        <w:trPr>
          <w:trHeight w:val="375"/>
        </w:trPr>
        <w:tc>
          <w:tcPr>
            <w:tcW w:w="2387"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left="70"/>
              <w:jc w:val="center"/>
              <w:rPr>
                <w:rFonts w:ascii="Times New Roman" w:hAnsi="Times New Roman" w:cs="Times New Roman"/>
              </w:rPr>
            </w:pPr>
            <w:r>
              <w:rPr>
                <w:rFonts w:ascii="Times New Roman" w:hAnsi="Times New Roman" w:cs="Times New Roman"/>
              </w:rPr>
              <w:t>De</w:t>
            </w:r>
            <w:r>
              <w:rPr>
                <w:rFonts w:ascii="Times New Roman" w:hAnsi="Times New Roman" w:cs="Times New Roman"/>
                <w:spacing w:val="-8"/>
              </w:rPr>
              <w:t xml:space="preserve"> </w:t>
            </w:r>
            <w:r>
              <w:rPr>
                <w:rFonts w:ascii="Times New Roman" w:hAnsi="Times New Roman" w:cs="Times New Roman"/>
                <w:spacing w:val="-2"/>
              </w:rPr>
              <w:t>acuerdo</w:t>
            </w:r>
          </w:p>
        </w:tc>
        <w:tc>
          <w:tcPr>
            <w:tcW w:w="1612"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348"/>
              <w:jc w:val="center"/>
              <w:rPr>
                <w:rFonts w:ascii="Times New Roman" w:hAnsi="Times New Roman" w:cs="Times New Roman"/>
              </w:rPr>
            </w:pPr>
            <w:r>
              <w:rPr>
                <w:rFonts w:ascii="Times New Roman" w:hAnsi="Times New Roman" w:cs="Times New Roman"/>
                <w:spacing w:val="-5"/>
              </w:rPr>
              <w:t>102</w:t>
            </w:r>
          </w:p>
        </w:tc>
        <w:tc>
          <w:tcPr>
            <w:tcW w:w="1001"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61"/>
              <w:jc w:val="center"/>
              <w:rPr>
                <w:rFonts w:ascii="Times New Roman" w:hAnsi="Times New Roman" w:cs="Times New Roman"/>
              </w:rPr>
            </w:pPr>
            <w:r>
              <w:rPr>
                <w:rFonts w:ascii="Times New Roman" w:hAnsi="Times New Roman" w:cs="Times New Roman"/>
                <w:spacing w:val="-4"/>
              </w:rPr>
              <w:t>21,5</w:t>
            </w:r>
          </w:p>
        </w:tc>
      </w:tr>
      <w:tr w:rsidR="00BB1A0F">
        <w:trPr>
          <w:trHeight w:val="312"/>
        </w:trPr>
        <w:tc>
          <w:tcPr>
            <w:tcW w:w="2387" w:type="pct"/>
            <w:vAlign w:val="center"/>
          </w:tcPr>
          <w:p w:rsidR="00BB1A0F" w:rsidRDefault="00364EA7">
            <w:pPr>
              <w:pStyle w:val="TableParagraph"/>
              <w:spacing w:before="0"/>
              <w:ind w:left="70"/>
              <w:jc w:val="center"/>
              <w:rPr>
                <w:rFonts w:ascii="Times New Roman" w:hAnsi="Times New Roman" w:cs="Times New Roman"/>
              </w:rPr>
            </w:pPr>
            <w:r>
              <w:rPr>
                <w:rFonts w:ascii="Times New Roman" w:hAnsi="Times New Roman" w:cs="Times New Roman"/>
              </w:rPr>
              <w:t>En</w:t>
            </w:r>
            <w:r>
              <w:rPr>
                <w:rFonts w:ascii="Times New Roman" w:hAnsi="Times New Roman" w:cs="Times New Roman"/>
                <w:spacing w:val="-1"/>
              </w:rPr>
              <w:t xml:space="preserve"> </w:t>
            </w:r>
            <w:r>
              <w:rPr>
                <w:rFonts w:ascii="Times New Roman" w:hAnsi="Times New Roman" w:cs="Times New Roman"/>
                <w:spacing w:val="-2"/>
              </w:rPr>
              <w:t>desacuerdo</w:t>
            </w:r>
          </w:p>
        </w:tc>
        <w:tc>
          <w:tcPr>
            <w:tcW w:w="1612" w:type="pct"/>
            <w:vAlign w:val="center"/>
          </w:tcPr>
          <w:p w:rsidR="00BB1A0F" w:rsidRDefault="00364EA7">
            <w:pPr>
              <w:pStyle w:val="TableParagraph"/>
              <w:spacing w:before="0"/>
              <w:ind w:right="346"/>
              <w:jc w:val="center"/>
              <w:rPr>
                <w:rFonts w:ascii="Times New Roman" w:hAnsi="Times New Roman" w:cs="Times New Roman"/>
              </w:rPr>
            </w:pPr>
            <w:r>
              <w:rPr>
                <w:rFonts w:ascii="Times New Roman" w:hAnsi="Times New Roman" w:cs="Times New Roman"/>
                <w:spacing w:val="-5"/>
              </w:rPr>
              <w:t>190</w:t>
            </w:r>
          </w:p>
        </w:tc>
        <w:tc>
          <w:tcPr>
            <w:tcW w:w="1001" w:type="pct"/>
            <w:vAlign w:val="center"/>
          </w:tcPr>
          <w:p w:rsidR="00BB1A0F" w:rsidRDefault="00364EA7">
            <w:pPr>
              <w:pStyle w:val="TableParagraph"/>
              <w:spacing w:before="0"/>
              <w:ind w:right="60"/>
              <w:jc w:val="center"/>
              <w:rPr>
                <w:rFonts w:ascii="Times New Roman" w:hAnsi="Times New Roman" w:cs="Times New Roman"/>
              </w:rPr>
            </w:pPr>
            <w:r>
              <w:rPr>
                <w:rFonts w:ascii="Times New Roman" w:hAnsi="Times New Roman" w:cs="Times New Roman"/>
                <w:spacing w:val="-4"/>
              </w:rPr>
              <w:t>40,1</w:t>
            </w:r>
          </w:p>
        </w:tc>
      </w:tr>
      <w:tr w:rsidR="00BB1A0F">
        <w:trPr>
          <w:trHeight w:val="272"/>
        </w:trPr>
        <w:tc>
          <w:tcPr>
            <w:tcW w:w="2387" w:type="pct"/>
            <w:tcBorders>
              <w:top w:val="non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left="70"/>
              <w:jc w:val="center"/>
              <w:rPr>
                <w:rFonts w:ascii="Times New Roman" w:hAnsi="Times New Roman" w:cs="Times New Roman"/>
              </w:rPr>
            </w:pPr>
            <w:r>
              <w:rPr>
                <w:rFonts w:ascii="Times New Roman" w:hAnsi="Times New Roman" w:cs="Times New Roman"/>
              </w:rPr>
              <w:t>Totalmente</w:t>
            </w:r>
            <w:r>
              <w:rPr>
                <w:rFonts w:ascii="Times New Roman" w:hAnsi="Times New Roman" w:cs="Times New Roman"/>
                <w:spacing w:val="-8"/>
              </w:rPr>
              <w:t xml:space="preserve"> </w:t>
            </w:r>
            <w:r>
              <w:rPr>
                <w:rFonts w:ascii="Times New Roman" w:hAnsi="Times New Roman" w:cs="Times New Roman"/>
              </w:rPr>
              <w:t>de</w:t>
            </w:r>
            <w:r>
              <w:rPr>
                <w:rFonts w:ascii="Times New Roman" w:hAnsi="Times New Roman" w:cs="Times New Roman"/>
                <w:spacing w:val="-7"/>
              </w:rPr>
              <w:t xml:space="preserve"> </w:t>
            </w:r>
            <w:r>
              <w:rPr>
                <w:rFonts w:ascii="Times New Roman" w:hAnsi="Times New Roman" w:cs="Times New Roman"/>
                <w:spacing w:val="-2"/>
              </w:rPr>
              <w:t>acuerdo</w:t>
            </w:r>
          </w:p>
        </w:tc>
        <w:tc>
          <w:tcPr>
            <w:tcW w:w="1612" w:type="pct"/>
            <w:tcBorders>
              <w:top w:val="non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346"/>
              <w:jc w:val="center"/>
              <w:rPr>
                <w:rFonts w:ascii="Times New Roman" w:hAnsi="Times New Roman" w:cs="Times New Roman"/>
              </w:rPr>
            </w:pPr>
            <w:r>
              <w:rPr>
                <w:rFonts w:ascii="Times New Roman" w:hAnsi="Times New Roman" w:cs="Times New Roman"/>
                <w:spacing w:val="-5"/>
              </w:rPr>
              <w:t>29</w:t>
            </w:r>
          </w:p>
        </w:tc>
        <w:tc>
          <w:tcPr>
            <w:tcW w:w="1001" w:type="pct"/>
            <w:tcBorders>
              <w:top w:val="non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56"/>
              <w:jc w:val="center"/>
              <w:rPr>
                <w:rFonts w:ascii="Times New Roman" w:hAnsi="Times New Roman" w:cs="Times New Roman"/>
              </w:rPr>
            </w:pPr>
            <w:r>
              <w:rPr>
                <w:rFonts w:ascii="Times New Roman" w:hAnsi="Times New Roman" w:cs="Times New Roman"/>
                <w:spacing w:val="-5"/>
              </w:rPr>
              <w:t>6,1</w:t>
            </w:r>
          </w:p>
        </w:tc>
      </w:tr>
      <w:tr w:rsidR="00BB1A0F">
        <w:trPr>
          <w:trHeight w:val="272"/>
        </w:trPr>
        <w:tc>
          <w:tcPr>
            <w:tcW w:w="2387"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81"/>
              <w:jc w:val="center"/>
              <w:rPr>
                <w:rFonts w:ascii="Times New Roman" w:hAnsi="Times New Roman" w:cs="Times New Roman"/>
              </w:rPr>
            </w:pPr>
            <w:r>
              <w:rPr>
                <w:rFonts w:ascii="Times New Roman" w:hAnsi="Times New Roman" w:cs="Times New Roman"/>
              </w:rPr>
              <w:t>Totalmente</w:t>
            </w:r>
            <w:r>
              <w:rPr>
                <w:rFonts w:ascii="Times New Roman" w:hAnsi="Times New Roman" w:cs="Times New Roman"/>
                <w:spacing w:val="-9"/>
              </w:rPr>
              <w:t xml:space="preserve"> </w:t>
            </w:r>
            <w:r>
              <w:rPr>
                <w:rFonts w:ascii="Times New Roman" w:hAnsi="Times New Roman" w:cs="Times New Roman"/>
              </w:rPr>
              <w:t>en</w:t>
            </w:r>
            <w:r>
              <w:rPr>
                <w:rFonts w:ascii="Times New Roman" w:hAnsi="Times New Roman" w:cs="Times New Roman"/>
                <w:spacing w:val="-9"/>
              </w:rPr>
              <w:t xml:space="preserve"> </w:t>
            </w:r>
            <w:r>
              <w:rPr>
                <w:rFonts w:ascii="Times New Roman" w:hAnsi="Times New Roman" w:cs="Times New Roman"/>
                <w:spacing w:val="-2"/>
              </w:rPr>
              <w:t>desacuerdo</w:t>
            </w:r>
          </w:p>
        </w:tc>
        <w:tc>
          <w:tcPr>
            <w:tcW w:w="1612"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546"/>
              <w:jc w:val="center"/>
              <w:rPr>
                <w:rFonts w:ascii="Times New Roman" w:hAnsi="Times New Roman" w:cs="Times New Roman"/>
              </w:rPr>
            </w:pPr>
            <w:r>
              <w:rPr>
                <w:rFonts w:ascii="Times New Roman" w:hAnsi="Times New Roman" w:cs="Times New Roman"/>
                <w:spacing w:val="-5"/>
              </w:rPr>
              <w:t>153</w:t>
            </w:r>
          </w:p>
        </w:tc>
        <w:tc>
          <w:tcPr>
            <w:tcW w:w="1001"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51"/>
              <w:jc w:val="center"/>
              <w:rPr>
                <w:rFonts w:ascii="Times New Roman" w:hAnsi="Times New Roman" w:cs="Times New Roman"/>
              </w:rPr>
            </w:pPr>
            <w:r>
              <w:rPr>
                <w:rFonts w:ascii="Times New Roman" w:hAnsi="Times New Roman" w:cs="Times New Roman"/>
                <w:spacing w:val="-4"/>
              </w:rPr>
              <w:t>32,3</w:t>
            </w:r>
          </w:p>
        </w:tc>
      </w:tr>
      <w:tr w:rsidR="00BB1A0F">
        <w:trPr>
          <w:trHeight w:val="272"/>
        </w:trPr>
        <w:tc>
          <w:tcPr>
            <w:tcW w:w="2387"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81"/>
              <w:jc w:val="center"/>
              <w:rPr>
                <w:rFonts w:ascii="Times New Roman" w:hAnsi="Times New Roman" w:cs="Times New Roman"/>
              </w:rPr>
            </w:pPr>
            <w:r>
              <w:rPr>
                <w:rFonts w:ascii="Times New Roman" w:hAnsi="Times New Roman" w:cs="Times New Roman"/>
                <w:spacing w:val="-2"/>
              </w:rPr>
              <w:t>Total</w:t>
            </w:r>
          </w:p>
        </w:tc>
        <w:tc>
          <w:tcPr>
            <w:tcW w:w="1612"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544"/>
              <w:jc w:val="center"/>
              <w:rPr>
                <w:rFonts w:ascii="Times New Roman" w:hAnsi="Times New Roman" w:cs="Times New Roman"/>
              </w:rPr>
            </w:pPr>
            <w:r>
              <w:rPr>
                <w:rFonts w:ascii="Times New Roman" w:hAnsi="Times New Roman" w:cs="Times New Roman"/>
                <w:spacing w:val="-5"/>
              </w:rPr>
              <w:t>474</w:t>
            </w:r>
          </w:p>
        </w:tc>
        <w:tc>
          <w:tcPr>
            <w:tcW w:w="1001"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54"/>
              <w:jc w:val="center"/>
              <w:rPr>
                <w:rFonts w:ascii="Times New Roman" w:hAnsi="Times New Roman" w:cs="Times New Roman"/>
              </w:rPr>
            </w:pPr>
            <w:r>
              <w:rPr>
                <w:rFonts w:ascii="Times New Roman" w:hAnsi="Times New Roman" w:cs="Times New Roman"/>
                <w:spacing w:val="-2"/>
              </w:rPr>
              <w:t>100,0</w:t>
            </w:r>
          </w:p>
        </w:tc>
      </w:tr>
    </w:tbl>
    <w:p w:rsidR="00BB1A0F" w:rsidRDefault="00364EA7">
      <w:pPr>
        <w:pStyle w:val="BodyText"/>
        <w:ind w:right="232" w:firstLine="709"/>
        <w:jc w:val="both"/>
        <w:rPr>
          <w:rFonts w:ascii="Times New Roman" w:hAnsi="Times New Roman" w:cs="Times New Roman"/>
          <w:sz w:val="20"/>
          <w:szCs w:val="20"/>
          <w:lang w:val="es-ES"/>
        </w:rPr>
      </w:pPr>
      <w:r>
        <w:rPr>
          <w:rFonts w:ascii="Times New Roman" w:hAnsi="Times New Roman" w:cs="Times New Roman"/>
          <w:sz w:val="20"/>
          <w:szCs w:val="20"/>
          <w:lang w:val="es-CO"/>
        </w:rPr>
        <w:t>Ante la pregunta: “No me siento motivado por mis maestros”, la muestra en un 72.4 % está en desacuerdo: 40</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 está en</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desacuerdo y un 32.3 %, en</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desacuerdo total.</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Mientras que un 27.6% indica que, en</w:t>
      </w:r>
      <w:r>
        <w:rPr>
          <w:rFonts w:ascii="Times New Roman" w:hAnsi="Times New Roman" w:cs="Times New Roman"/>
          <w:spacing w:val="-2"/>
          <w:sz w:val="20"/>
          <w:szCs w:val="20"/>
          <w:lang w:val="es-CO"/>
        </w:rPr>
        <w:t xml:space="preserve"> </w:t>
      </w:r>
      <w:r>
        <w:rPr>
          <w:rFonts w:ascii="Times New Roman" w:hAnsi="Times New Roman" w:cs="Times New Roman"/>
          <w:sz w:val="20"/>
          <w:szCs w:val="20"/>
          <w:lang w:val="es-CO"/>
        </w:rPr>
        <w:t>efecto, no</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se</w:t>
      </w:r>
      <w:r>
        <w:rPr>
          <w:rFonts w:ascii="Times New Roman" w:hAnsi="Times New Roman" w:cs="Times New Roman"/>
          <w:spacing w:val="-2"/>
          <w:sz w:val="20"/>
          <w:szCs w:val="20"/>
          <w:lang w:val="es-CO"/>
        </w:rPr>
        <w:t xml:space="preserve"> </w:t>
      </w:r>
      <w:r>
        <w:rPr>
          <w:rFonts w:ascii="Times New Roman" w:hAnsi="Times New Roman" w:cs="Times New Roman"/>
          <w:sz w:val="20"/>
          <w:szCs w:val="20"/>
          <w:lang w:val="es-CO"/>
        </w:rPr>
        <w:t>sienten</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motivados</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por</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sus</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maestras/os:</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un</w:t>
      </w:r>
      <w:r>
        <w:rPr>
          <w:rFonts w:ascii="Times New Roman" w:hAnsi="Times New Roman" w:cs="Times New Roman"/>
          <w:spacing w:val="-2"/>
          <w:sz w:val="20"/>
          <w:szCs w:val="20"/>
          <w:lang w:val="es-CO"/>
        </w:rPr>
        <w:t xml:space="preserve"> </w:t>
      </w:r>
      <w:r>
        <w:rPr>
          <w:rFonts w:ascii="Times New Roman" w:hAnsi="Times New Roman" w:cs="Times New Roman"/>
          <w:sz w:val="20"/>
          <w:szCs w:val="20"/>
          <w:lang w:val="es-CO"/>
        </w:rPr>
        <w:t>21.5</w:t>
      </w:r>
      <w:r>
        <w:rPr>
          <w:rFonts w:ascii="Times New Roman" w:hAnsi="Times New Roman" w:cs="Times New Roman"/>
          <w:spacing w:val="-3"/>
          <w:sz w:val="20"/>
          <w:szCs w:val="20"/>
          <w:lang w:val="es-CO"/>
        </w:rPr>
        <w:t xml:space="preserve"> </w:t>
      </w:r>
      <w:r>
        <w:rPr>
          <w:rFonts w:ascii="Times New Roman" w:hAnsi="Times New Roman" w:cs="Times New Roman"/>
          <w:sz w:val="20"/>
          <w:szCs w:val="20"/>
          <w:lang w:val="es-CO"/>
        </w:rPr>
        <w:t>% en</w:t>
      </w:r>
      <w:r>
        <w:rPr>
          <w:rFonts w:ascii="Times New Roman" w:hAnsi="Times New Roman" w:cs="Times New Roman"/>
          <w:spacing w:val="-2"/>
          <w:sz w:val="20"/>
          <w:szCs w:val="20"/>
          <w:lang w:val="es-CO"/>
        </w:rPr>
        <w:t xml:space="preserve"> </w:t>
      </w:r>
      <w:r>
        <w:rPr>
          <w:rFonts w:ascii="Times New Roman" w:hAnsi="Times New Roman" w:cs="Times New Roman"/>
          <w:sz w:val="20"/>
          <w:szCs w:val="20"/>
          <w:lang w:val="es-CO"/>
        </w:rPr>
        <w:t>acuerdo</w:t>
      </w:r>
      <w:r>
        <w:rPr>
          <w:rFonts w:ascii="Times New Roman" w:hAnsi="Times New Roman" w:cs="Times New Roman"/>
          <w:spacing w:val="-1"/>
          <w:sz w:val="20"/>
          <w:szCs w:val="20"/>
          <w:lang w:val="es-CO"/>
        </w:rPr>
        <w:t xml:space="preserve"> </w:t>
      </w:r>
      <w:r>
        <w:rPr>
          <w:rFonts w:ascii="Times New Roman" w:hAnsi="Times New Roman" w:cs="Times New Roman"/>
          <w:sz w:val="20"/>
          <w:szCs w:val="20"/>
          <w:lang w:val="es-CO"/>
        </w:rPr>
        <w:t>y un 6.1 % en total acuerdo.</w:t>
      </w:r>
    </w:p>
    <w:p w:rsidR="00BB1A0F" w:rsidRDefault="00364EA7">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Tabla</w:t>
      </w:r>
      <w:r>
        <w:rPr>
          <w:rFonts w:ascii="Times New Roman" w:hAnsi="Times New Roman" w:cs="Times New Roman"/>
          <w:b/>
          <w:spacing w:val="-7"/>
          <w:sz w:val="20"/>
          <w:szCs w:val="20"/>
        </w:rPr>
        <w:t xml:space="preserve"> </w:t>
      </w:r>
      <w:r>
        <w:rPr>
          <w:rFonts w:ascii="Times New Roman" w:hAnsi="Times New Roman" w:cs="Times New Roman"/>
          <w:b/>
          <w:spacing w:val="-10"/>
          <w:sz w:val="20"/>
          <w:szCs w:val="20"/>
        </w:rPr>
        <w:t>5</w:t>
      </w:r>
    </w:p>
    <w:p w:rsidR="00BB1A0F" w:rsidRDefault="00364EA7">
      <w:pPr>
        <w:pStyle w:val="Heading2"/>
        <w:jc w:val="both"/>
        <w:rPr>
          <w:rFonts w:ascii="Times New Roman" w:hAnsi="Times New Roman" w:cs="Times New Roman"/>
          <w:b w:val="0"/>
          <w:i/>
          <w:sz w:val="20"/>
          <w:szCs w:val="20"/>
        </w:rPr>
      </w:pPr>
      <w:bookmarkStart w:id="3" w:name="La_familia_no_da_importancia_a_la_educac"/>
      <w:bookmarkEnd w:id="3"/>
      <w:r>
        <w:rPr>
          <w:rFonts w:ascii="Times New Roman" w:hAnsi="Times New Roman" w:cs="Times New Roman"/>
          <w:b w:val="0"/>
          <w:i/>
          <w:sz w:val="20"/>
          <w:szCs w:val="20"/>
        </w:rPr>
        <w:t>La</w:t>
      </w:r>
      <w:r>
        <w:rPr>
          <w:rFonts w:ascii="Times New Roman" w:hAnsi="Times New Roman" w:cs="Times New Roman"/>
          <w:b w:val="0"/>
          <w:i/>
          <w:spacing w:val="-7"/>
          <w:sz w:val="20"/>
          <w:szCs w:val="20"/>
        </w:rPr>
        <w:t xml:space="preserve"> </w:t>
      </w:r>
      <w:r>
        <w:rPr>
          <w:rFonts w:ascii="Times New Roman" w:hAnsi="Times New Roman" w:cs="Times New Roman"/>
          <w:b w:val="0"/>
          <w:i/>
          <w:sz w:val="20"/>
          <w:szCs w:val="20"/>
        </w:rPr>
        <w:t>familia</w:t>
      </w:r>
      <w:r>
        <w:rPr>
          <w:rFonts w:ascii="Times New Roman" w:hAnsi="Times New Roman" w:cs="Times New Roman"/>
          <w:b w:val="0"/>
          <w:i/>
          <w:spacing w:val="-3"/>
          <w:sz w:val="20"/>
          <w:szCs w:val="20"/>
        </w:rPr>
        <w:t xml:space="preserve"> </w:t>
      </w:r>
      <w:r>
        <w:rPr>
          <w:rFonts w:ascii="Times New Roman" w:hAnsi="Times New Roman" w:cs="Times New Roman"/>
          <w:b w:val="0"/>
          <w:i/>
          <w:sz w:val="20"/>
          <w:szCs w:val="20"/>
        </w:rPr>
        <w:t>no</w:t>
      </w:r>
      <w:r>
        <w:rPr>
          <w:rFonts w:ascii="Times New Roman" w:hAnsi="Times New Roman" w:cs="Times New Roman"/>
          <w:b w:val="0"/>
          <w:i/>
          <w:spacing w:val="-6"/>
          <w:sz w:val="20"/>
          <w:szCs w:val="20"/>
        </w:rPr>
        <w:t xml:space="preserve"> </w:t>
      </w:r>
      <w:r>
        <w:rPr>
          <w:rFonts w:ascii="Times New Roman" w:hAnsi="Times New Roman" w:cs="Times New Roman"/>
          <w:b w:val="0"/>
          <w:i/>
          <w:sz w:val="20"/>
          <w:szCs w:val="20"/>
        </w:rPr>
        <w:t>da</w:t>
      </w:r>
      <w:r>
        <w:rPr>
          <w:rFonts w:ascii="Times New Roman" w:hAnsi="Times New Roman" w:cs="Times New Roman"/>
          <w:b w:val="0"/>
          <w:i/>
          <w:spacing w:val="-8"/>
          <w:sz w:val="20"/>
          <w:szCs w:val="20"/>
        </w:rPr>
        <w:t xml:space="preserve"> </w:t>
      </w:r>
      <w:r>
        <w:rPr>
          <w:rFonts w:ascii="Times New Roman" w:hAnsi="Times New Roman" w:cs="Times New Roman"/>
          <w:b w:val="0"/>
          <w:i/>
          <w:sz w:val="20"/>
          <w:szCs w:val="20"/>
        </w:rPr>
        <w:t>importancia</w:t>
      </w:r>
      <w:r>
        <w:rPr>
          <w:rFonts w:ascii="Times New Roman" w:hAnsi="Times New Roman" w:cs="Times New Roman"/>
          <w:b w:val="0"/>
          <w:i/>
          <w:spacing w:val="-2"/>
          <w:sz w:val="20"/>
          <w:szCs w:val="20"/>
        </w:rPr>
        <w:t xml:space="preserve"> </w:t>
      </w:r>
      <w:r>
        <w:rPr>
          <w:rFonts w:ascii="Times New Roman" w:hAnsi="Times New Roman" w:cs="Times New Roman"/>
          <w:b w:val="0"/>
          <w:i/>
          <w:sz w:val="20"/>
          <w:szCs w:val="20"/>
        </w:rPr>
        <w:t>a</w:t>
      </w:r>
      <w:r>
        <w:rPr>
          <w:rFonts w:ascii="Times New Roman" w:hAnsi="Times New Roman" w:cs="Times New Roman"/>
          <w:b w:val="0"/>
          <w:i/>
          <w:spacing w:val="-3"/>
          <w:sz w:val="20"/>
          <w:szCs w:val="20"/>
        </w:rPr>
        <w:t xml:space="preserve"> </w:t>
      </w:r>
      <w:r>
        <w:rPr>
          <w:rFonts w:ascii="Times New Roman" w:hAnsi="Times New Roman" w:cs="Times New Roman"/>
          <w:b w:val="0"/>
          <w:i/>
          <w:sz w:val="20"/>
          <w:szCs w:val="20"/>
        </w:rPr>
        <w:t>la</w:t>
      </w:r>
      <w:r>
        <w:rPr>
          <w:rFonts w:ascii="Times New Roman" w:hAnsi="Times New Roman" w:cs="Times New Roman"/>
          <w:b w:val="0"/>
          <w:i/>
          <w:spacing w:val="-7"/>
          <w:sz w:val="20"/>
          <w:szCs w:val="20"/>
        </w:rPr>
        <w:t xml:space="preserve"> </w:t>
      </w:r>
      <w:r>
        <w:rPr>
          <w:rFonts w:ascii="Times New Roman" w:hAnsi="Times New Roman" w:cs="Times New Roman"/>
          <w:b w:val="0"/>
          <w:i/>
          <w:spacing w:val="-2"/>
          <w:sz w:val="20"/>
          <w:szCs w:val="20"/>
        </w:rPr>
        <w:t>educación</w:t>
      </w:r>
    </w:p>
    <w:tbl>
      <w:tblPr>
        <w:tblStyle w:val="TableNormal1"/>
        <w:tblW w:w="5000" w:type="pct"/>
        <w:tblInd w:w="0" w:type="dxa"/>
        <w:tblLook w:val="01E0" w:firstRow="1" w:lastRow="1" w:firstColumn="1" w:lastColumn="1" w:noHBand="0" w:noVBand="0"/>
      </w:tblPr>
      <w:tblGrid>
        <w:gridCol w:w="4724"/>
        <w:gridCol w:w="3157"/>
        <w:gridCol w:w="2199"/>
      </w:tblGrid>
      <w:tr w:rsidR="00BB1A0F">
        <w:trPr>
          <w:trHeight w:val="546"/>
        </w:trPr>
        <w:tc>
          <w:tcPr>
            <w:tcW w:w="2343"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11"/>
              <w:jc w:val="center"/>
              <w:rPr>
                <w:rFonts w:ascii="Times New Roman" w:hAnsi="Times New Roman" w:cs="Times New Roman"/>
                <w:b/>
              </w:rPr>
            </w:pPr>
            <w:r>
              <w:rPr>
                <w:rFonts w:ascii="Times New Roman" w:hAnsi="Times New Roman" w:cs="Times New Roman"/>
                <w:b/>
              </w:rPr>
              <w:t>Mi</w:t>
            </w:r>
            <w:r>
              <w:rPr>
                <w:rFonts w:ascii="Times New Roman" w:hAnsi="Times New Roman" w:cs="Times New Roman"/>
                <w:b/>
                <w:spacing w:val="-11"/>
              </w:rPr>
              <w:t xml:space="preserve"> </w:t>
            </w:r>
            <w:r>
              <w:rPr>
                <w:rFonts w:ascii="Times New Roman" w:hAnsi="Times New Roman" w:cs="Times New Roman"/>
                <w:b/>
              </w:rPr>
              <w:t>familia</w:t>
            </w:r>
            <w:r>
              <w:rPr>
                <w:rFonts w:ascii="Times New Roman" w:hAnsi="Times New Roman" w:cs="Times New Roman"/>
                <w:b/>
                <w:spacing w:val="-13"/>
              </w:rPr>
              <w:t xml:space="preserve"> </w:t>
            </w:r>
            <w:r>
              <w:rPr>
                <w:rFonts w:ascii="Times New Roman" w:hAnsi="Times New Roman" w:cs="Times New Roman"/>
                <w:b/>
              </w:rPr>
              <w:t>no</w:t>
            </w:r>
            <w:r>
              <w:rPr>
                <w:rFonts w:ascii="Times New Roman" w:hAnsi="Times New Roman" w:cs="Times New Roman"/>
                <w:b/>
                <w:spacing w:val="-8"/>
              </w:rPr>
              <w:t xml:space="preserve"> </w:t>
            </w:r>
            <w:r>
              <w:rPr>
                <w:rFonts w:ascii="Times New Roman" w:hAnsi="Times New Roman" w:cs="Times New Roman"/>
                <w:b/>
              </w:rPr>
              <w:t>confía</w:t>
            </w:r>
            <w:r>
              <w:rPr>
                <w:rFonts w:ascii="Times New Roman" w:hAnsi="Times New Roman" w:cs="Times New Roman"/>
                <w:b/>
                <w:spacing w:val="-12"/>
              </w:rPr>
              <w:t xml:space="preserve"> </w:t>
            </w:r>
            <w:r>
              <w:rPr>
                <w:rFonts w:ascii="Times New Roman" w:hAnsi="Times New Roman" w:cs="Times New Roman"/>
                <w:b/>
              </w:rPr>
              <w:t>en</w:t>
            </w:r>
            <w:r>
              <w:rPr>
                <w:rFonts w:ascii="Times New Roman" w:hAnsi="Times New Roman" w:cs="Times New Roman"/>
                <w:b/>
                <w:spacing w:val="-7"/>
              </w:rPr>
              <w:t xml:space="preserve"> </w:t>
            </w:r>
            <w:r>
              <w:rPr>
                <w:rFonts w:ascii="Times New Roman" w:hAnsi="Times New Roman" w:cs="Times New Roman"/>
                <w:b/>
              </w:rPr>
              <w:t xml:space="preserve">la </w:t>
            </w:r>
            <w:r>
              <w:rPr>
                <w:rFonts w:ascii="Times New Roman" w:hAnsi="Times New Roman" w:cs="Times New Roman"/>
                <w:b/>
                <w:spacing w:val="-2"/>
              </w:rPr>
              <w:t>educación</w:t>
            </w:r>
          </w:p>
        </w:tc>
        <w:tc>
          <w:tcPr>
            <w:tcW w:w="1566"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jc w:val="center"/>
              <w:rPr>
                <w:rFonts w:ascii="Times New Roman" w:hAnsi="Times New Roman" w:cs="Times New Roman"/>
                <w:b/>
              </w:rPr>
            </w:pPr>
            <w:r>
              <w:rPr>
                <w:rFonts w:ascii="Times New Roman" w:hAnsi="Times New Roman" w:cs="Times New Roman"/>
                <w:b/>
                <w:spacing w:val="-2"/>
              </w:rPr>
              <w:t>Frecuencia</w:t>
            </w:r>
          </w:p>
        </w:tc>
        <w:tc>
          <w:tcPr>
            <w:tcW w:w="1091" w:type="pct"/>
            <w:tcBorders>
              <w:top w:val="singl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jc w:val="center"/>
              <w:rPr>
                <w:rFonts w:ascii="Times New Roman" w:hAnsi="Times New Roman" w:cs="Times New Roman"/>
                <w:b/>
              </w:rPr>
            </w:pPr>
            <w:r>
              <w:rPr>
                <w:rFonts w:ascii="Times New Roman" w:hAnsi="Times New Roman" w:cs="Times New Roman"/>
                <w:b/>
                <w:spacing w:val="-2"/>
              </w:rPr>
              <w:t>Porcentaje</w:t>
            </w:r>
          </w:p>
        </w:tc>
      </w:tr>
      <w:tr w:rsidR="00BB1A0F">
        <w:trPr>
          <w:trHeight w:val="372"/>
        </w:trPr>
        <w:tc>
          <w:tcPr>
            <w:tcW w:w="2343"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De</w:t>
            </w:r>
            <w:r>
              <w:rPr>
                <w:rFonts w:ascii="Times New Roman" w:hAnsi="Times New Roman" w:cs="Times New Roman"/>
                <w:spacing w:val="-8"/>
              </w:rPr>
              <w:t xml:space="preserve"> </w:t>
            </w:r>
            <w:r>
              <w:rPr>
                <w:rFonts w:ascii="Times New Roman" w:hAnsi="Times New Roman" w:cs="Times New Roman"/>
                <w:spacing w:val="-2"/>
              </w:rPr>
              <w:t>acuerdo</w:t>
            </w:r>
          </w:p>
        </w:tc>
        <w:tc>
          <w:tcPr>
            <w:tcW w:w="1566"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260"/>
              <w:jc w:val="center"/>
              <w:rPr>
                <w:rFonts w:ascii="Times New Roman" w:hAnsi="Times New Roman" w:cs="Times New Roman"/>
              </w:rPr>
            </w:pPr>
            <w:r>
              <w:rPr>
                <w:rFonts w:ascii="Times New Roman" w:hAnsi="Times New Roman" w:cs="Times New Roman"/>
                <w:spacing w:val="-5"/>
              </w:rPr>
              <w:t>35</w:t>
            </w:r>
          </w:p>
        </w:tc>
        <w:tc>
          <w:tcPr>
            <w:tcW w:w="1091" w:type="pct"/>
            <w:tcBorders>
              <w:top w:val="single" w:sz="4" w:space="0" w:color="000000"/>
              <w:left w:val="none" w:sz="4" w:space="0" w:color="000000"/>
              <w:bottom w:val="none" w:sz="4" w:space="0" w:color="000000"/>
              <w:right w:val="none" w:sz="4" w:space="0" w:color="000000"/>
            </w:tcBorders>
            <w:vAlign w:val="center"/>
          </w:tcPr>
          <w:p w:rsidR="00BB1A0F" w:rsidRDefault="00364EA7">
            <w:pPr>
              <w:pStyle w:val="TableParagraph"/>
              <w:spacing w:before="0"/>
              <w:ind w:right="53"/>
              <w:jc w:val="center"/>
              <w:rPr>
                <w:rFonts w:ascii="Times New Roman" w:hAnsi="Times New Roman" w:cs="Times New Roman"/>
              </w:rPr>
            </w:pPr>
            <w:r>
              <w:rPr>
                <w:rFonts w:ascii="Times New Roman" w:hAnsi="Times New Roman" w:cs="Times New Roman"/>
                <w:spacing w:val="-5"/>
              </w:rPr>
              <w:t>7,4</w:t>
            </w:r>
          </w:p>
        </w:tc>
      </w:tr>
      <w:tr w:rsidR="00BB1A0F">
        <w:trPr>
          <w:trHeight w:val="321"/>
        </w:trPr>
        <w:tc>
          <w:tcPr>
            <w:tcW w:w="2343" w:type="pct"/>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En</w:t>
            </w:r>
            <w:r>
              <w:rPr>
                <w:rFonts w:ascii="Times New Roman" w:hAnsi="Times New Roman" w:cs="Times New Roman"/>
                <w:spacing w:val="-1"/>
              </w:rPr>
              <w:t xml:space="preserve"> </w:t>
            </w:r>
            <w:r>
              <w:rPr>
                <w:rFonts w:ascii="Times New Roman" w:hAnsi="Times New Roman" w:cs="Times New Roman"/>
                <w:spacing w:val="-2"/>
              </w:rPr>
              <w:t>desacuerdo</w:t>
            </w:r>
          </w:p>
        </w:tc>
        <w:tc>
          <w:tcPr>
            <w:tcW w:w="1566" w:type="pct"/>
            <w:vAlign w:val="center"/>
          </w:tcPr>
          <w:p w:rsidR="00BB1A0F" w:rsidRDefault="00364EA7">
            <w:pPr>
              <w:pStyle w:val="TableParagraph"/>
              <w:spacing w:before="0"/>
              <w:ind w:right="264"/>
              <w:jc w:val="center"/>
              <w:rPr>
                <w:rFonts w:ascii="Times New Roman" w:hAnsi="Times New Roman" w:cs="Times New Roman"/>
              </w:rPr>
            </w:pPr>
            <w:r>
              <w:rPr>
                <w:rFonts w:ascii="Times New Roman" w:hAnsi="Times New Roman" w:cs="Times New Roman"/>
                <w:spacing w:val="-5"/>
              </w:rPr>
              <w:t>131</w:t>
            </w:r>
          </w:p>
        </w:tc>
        <w:tc>
          <w:tcPr>
            <w:tcW w:w="1091" w:type="pct"/>
            <w:vAlign w:val="center"/>
          </w:tcPr>
          <w:p w:rsidR="00BB1A0F" w:rsidRDefault="00364EA7">
            <w:pPr>
              <w:pStyle w:val="TableParagraph"/>
              <w:spacing w:before="0"/>
              <w:ind w:right="53"/>
              <w:jc w:val="center"/>
              <w:rPr>
                <w:rFonts w:ascii="Times New Roman" w:hAnsi="Times New Roman" w:cs="Times New Roman"/>
              </w:rPr>
            </w:pPr>
            <w:r>
              <w:rPr>
                <w:rFonts w:ascii="Times New Roman" w:hAnsi="Times New Roman" w:cs="Times New Roman"/>
                <w:spacing w:val="-4"/>
              </w:rPr>
              <w:t>27,6</w:t>
            </w:r>
          </w:p>
        </w:tc>
      </w:tr>
      <w:tr w:rsidR="00BB1A0F">
        <w:trPr>
          <w:trHeight w:val="321"/>
        </w:trPr>
        <w:tc>
          <w:tcPr>
            <w:tcW w:w="2343" w:type="pct"/>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Totalmente</w:t>
            </w:r>
            <w:r>
              <w:rPr>
                <w:rFonts w:ascii="Times New Roman" w:hAnsi="Times New Roman" w:cs="Times New Roman"/>
                <w:spacing w:val="-8"/>
              </w:rPr>
              <w:t xml:space="preserve"> </w:t>
            </w:r>
            <w:r>
              <w:rPr>
                <w:rFonts w:ascii="Times New Roman" w:hAnsi="Times New Roman" w:cs="Times New Roman"/>
              </w:rPr>
              <w:t>de</w:t>
            </w:r>
            <w:r>
              <w:rPr>
                <w:rFonts w:ascii="Times New Roman" w:hAnsi="Times New Roman" w:cs="Times New Roman"/>
                <w:spacing w:val="-7"/>
              </w:rPr>
              <w:t xml:space="preserve"> </w:t>
            </w:r>
            <w:r>
              <w:rPr>
                <w:rFonts w:ascii="Times New Roman" w:hAnsi="Times New Roman" w:cs="Times New Roman"/>
                <w:spacing w:val="-2"/>
              </w:rPr>
              <w:t>acuerdo</w:t>
            </w:r>
          </w:p>
        </w:tc>
        <w:tc>
          <w:tcPr>
            <w:tcW w:w="1566" w:type="pct"/>
            <w:vAlign w:val="center"/>
          </w:tcPr>
          <w:p w:rsidR="00BB1A0F" w:rsidRDefault="00364EA7">
            <w:pPr>
              <w:pStyle w:val="TableParagraph"/>
              <w:spacing w:before="0"/>
              <w:ind w:right="264"/>
              <w:jc w:val="center"/>
              <w:rPr>
                <w:rFonts w:ascii="Times New Roman" w:hAnsi="Times New Roman" w:cs="Times New Roman"/>
              </w:rPr>
            </w:pPr>
            <w:r>
              <w:rPr>
                <w:rFonts w:ascii="Times New Roman" w:hAnsi="Times New Roman" w:cs="Times New Roman"/>
                <w:spacing w:val="-5"/>
              </w:rPr>
              <w:t>16</w:t>
            </w:r>
          </w:p>
        </w:tc>
        <w:tc>
          <w:tcPr>
            <w:tcW w:w="1091" w:type="pct"/>
            <w:vAlign w:val="center"/>
          </w:tcPr>
          <w:p w:rsidR="00BB1A0F" w:rsidRDefault="00364EA7">
            <w:pPr>
              <w:pStyle w:val="TableParagraph"/>
              <w:spacing w:before="0"/>
              <w:ind w:right="58"/>
              <w:jc w:val="center"/>
              <w:rPr>
                <w:rFonts w:ascii="Times New Roman" w:hAnsi="Times New Roman" w:cs="Times New Roman"/>
              </w:rPr>
            </w:pPr>
            <w:r>
              <w:rPr>
                <w:rFonts w:ascii="Times New Roman" w:hAnsi="Times New Roman" w:cs="Times New Roman"/>
                <w:spacing w:val="-5"/>
              </w:rPr>
              <w:t>3,4</w:t>
            </w:r>
          </w:p>
        </w:tc>
      </w:tr>
      <w:tr w:rsidR="00BB1A0F">
        <w:trPr>
          <w:trHeight w:val="312"/>
        </w:trPr>
        <w:tc>
          <w:tcPr>
            <w:tcW w:w="2343" w:type="pct"/>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rPr>
              <w:t>Totalmente</w:t>
            </w:r>
            <w:r>
              <w:rPr>
                <w:rFonts w:ascii="Times New Roman" w:hAnsi="Times New Roman" w:cs="Times New Roman"/>
                <w:spacing w:val="-9"/>
              </w:rPr>
              <w:t xml:space="preserve"> </w:t>
            </w:r>
            <w:r>
              <w:rPr>
                <w:rFonts w:ascii="Times New Roman" w:hAnsi="Times New Roman" w:cs="Times New Roman"/>
              </w:rPr>
              <w:t>en</w:t>
            </w:r>
            <w:r>
              <w:rPr>
                <w:rFonts w:ascii="Times New Roman" w:hAnsi="Times New Roman" w:cs="Times New Roman"/>
                <w:spacing w:val="-9"/>
              </w:rPr>
              <w:t xml:space="preserve"> </w:t>
            </w:r>
            <w:r>
              <w:rPr>
                <w:rFonts w:ascii="Times New Roman" w:hAnsi="Times New Roman" w:cs="Times New Roman"/>
                <w:spacing w:val="-2"/>
              </w:rPr>
              <w:t>desacuerdo</w:t>
            </w:r>
          </w:p>
        </w:tc>
        <w:tc>
          <w:tcPr>
            <w:tcW w:w="1566" w:type="pct"/>
            <w:vAlign w:val="center"/>
          </w:tcPr>
          <w:p w:rsidR="00BB1A0F" w:rsidRDefault="00364EA7">
            <w:pPr>
              <w:pStyle w:val="TableParagraph"/>
              <w:spacing w:before="0"/>
              <w:ind w:right="259"/>
              <w:jc w:val="center"/>
              <w:rPr>
                <w:rFonts w:ascii="Times New Roman" w:hAnsi="Times New Roman" w:cs="Times New Roman"/>
              </w:rPr>
            </w:pPr>
            <w:r>
              <w:rPr>
                <w:rFonts w:ascii="Times New Roman" w:hAnsi="Times New Roman" w:cs="Times New Roman"/>
                <w:spacing w:val="-5"/>
              </w:rPr>
              <w:t>292</w:t>
            </w:r>
          </w:p>
        </w:tc>
        <w:tc>
          <w:tcPr>
            <w:tcW w:w="1091" w:type="pct"/>
            <w:vAlign w:val="center"/>
          </w:tcPr>
          <w:p w:rsidR="00BB1A0F" w:rsidRDefault="00364EA7">
            <w:pPr>
              <w:pStyle w:val="TableParagraph"/>
              <w:spacing w:before="0"/>
              <w:ind w:right="59"/>
              <w:jc w:val="center"/>
              <w:rPr>
                <w:rFonts w:ascii="Times New Roman" w:hAnsi="Times New Roman" w:cs="Times New Roman"/>
              </w:rPr>
            </w:pPr>
            <w:r>
              <w:rPr>
                <w:rFonts w:ascii="Times New Roman" w:hAnsi="Times New Roman" w:cs="Times New Roman"/>
                <w:spacing w:val="-4"/>
              </w:rPr>
              <w:t>61,6</w:t>
            </w:r>
          </w:p>
        </w:tc>
      </w:tr>
      <w:tr w:rsidR="00BB1A0F">
        <w:trPr>
          <w:trHeight w:val="274"/>
        </w:trPr>
        <w:tc>
          <w:tcPr>
            <w:tcW w:w="2343"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left="74"/>
              <w:jc w:val="center"/>
              <w:rPr>
                <w:rFonts w:ascii="Times New Roman" w:hAnsi="Times New Roman" w:cs="Times New Roman"/>
              </w:rPr>
            </w:pPr>
            <w:r>
              <w:rPr>
                <w:rFonts w:ascii="Times New Roman" w:hAnsi="Times New Roman" w:cs="Times New Roman"/>
                <w:spacing w:val="-2"/>
              </w:rPr>
              <w:t>Total</w:t>
            </w:r>
          </w:p>
        </w:tc>
        <w:tc>
          <w:tcPr>
            <w:tcW w:w="1566"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262"/>
              <w:jc w:val="center"/>
              <w:rPr>
                <w:rFonts w:ascii="Times New Roman" w:hAnsi="Times New Roman" w:cs="Times New Roman"/>
              </w:rPr>
            </w:pPr>
            <w:r>
              <w:rPr>
                <w:rFonts w:ascii="Times New Roman" w:hAnsi="Times New Roman" w:cs="Times New Roman"/>
                <w:spacing w:val="-5"/>
              </w:rPr>
              <w:t>474</w:t>
            </w:r>
          </w:p>
        </w:tc>
        <w:tc>
          <w:tcPr>
            <w:tcW w:w="1091" w:type="pct"/>
            <w:tcBorders>
              <w:top w:val="none" w:sz="4" w:space="0" w:color="000000"/>
              <w:left w:val="none" w:sz="4" w:space="0" w:color="000000"/>
              <w:bottom w:val="single" w:sz="4" w:space="0" w:color="000000"/>
              <w:right w:val="none" w:sz="4" w:space="0" w:color="000000"/>
            </w:tcBorders>
            <w:vAlign w:val="center"/>
          </w:tcPr>
          <w:p w:rsidR="00BB1A0F" w:rsidRDefault="00364EA7">
            <w:pPr>
              <w:pStyle w:val="TableParagraph"/>
              <w:spacing w:before="0"/>
              <w:ind w:right="59"/>
              <w:jc w:val="center"/>
              <w:rPr>
                <w:rFonts w:ascii="Times New Roman" w:hAnsi="Times New Roman" w:cs="Times New Roman"/>
              </w:rPr>
            </w:pPr>
            <w:r>
              <w:rPr>
                <w:rFonts w:ascii="Times New Roman" w:hAnsi="Times New Roman" w:cs="Times New Roman"/>
                <w:spacing w:val="-2"/>
              </w:rPr>
              <w:t>100,0</w:t>
            </w:r>
          </w:p>
        </w:tc>
      </w:tr>
    </w:tbl>
    <w:p w:rsidR="00BB1A0F" w:rsidRDefault="00364EA7">
      <w:pPr>
        <w:spacing w:after="0" w:line="240" w:lineRule="auto"/>
        <w:ind w:firstLine="708"/>
        <w:jc w:val="both"/>
        <w:rPr>
          <w:rFonts w:ascii="Times New Roman" w:hAnsi="Times New Roman" w:cs="Times New Roman"/>
          <w:spacing w:val="-2"/>
          <w:sz w:val="20"/>
          <w:szCs w:val="20"/>
          <w:lang w:val="es-ES" w:eastAsia="es-EC"/>
        </w:rPr>
      </w:pPr>
      <w:r>
        <w:rPr>
          <w:rFonts w:ascii="Times New Roman" w:hAnsi="Times New Roman" w:cs="Times New Roman"/>
          <w:sz w:val="20"/>
          <w:szCs w:val="20"/>
        </w:rPr>
        <w:t>Ante</w:t>
      </w:r>
      <w:r>
        <w:rPr>
          <w:rFonts w:ascii="Times New Roman" w:hAnsi="Times New Roman" w:cs="Times New Roman"/>
          <w:spacing w:val="-2"/>
          <w:sz w:val="20"/>
          <w:szCs w:val="20"/>
        </w:rPr>
        <w:t xml:space="preserve"> </w:t>
      </w:r>
      <w:r>
        <w:rPr>
          <w:rFonts w:ascii="Times New Roman" w:hAnsi="Times New Roman" w:cs="Times New Roman"/>
          <w:sz w:val="20"/>
          <w:szCs w:val="20"/>
        </w:rPr>
        <w:t>la</w:t>
      </w:r>
      <w:r>
        <w:rPr>
          <w:rFonts w:ascii="Times New Roman" w:hAnsi="Times New Roman" w:cs="Times New Roman"/>
          <w:spacing w:val="-2"/>
          <w:sz w:val="20"/>
          <w:szCs w:val="20"/>
        </w:rPr>
        <w:t xml:space="preserve"> </w:t>
      </w:r>
      <w:r>
        <w:rPr>
          <w:rFonts w:ascii="Times New Roman" w:hAnsi="Times New Roman" w:cs="Times New Roman"/>
          <w:sz w:val="20"/>
          <w:szCs w:val="20"/>
        </w:rPr>
        <w:t>pregunta:</w:t>
      </w:r>
      <w:r>
        <w:rPr>
          <w:rFonts w:ascii="Times New Roman" w:hAnsi="Times New Roman" w:cs="Times New Roman"/>
          <w:spacing w:val="-2"/>
          <w:sz w:val="20"/>
          <w:szCs w:val="20"/>
        </w:rPr>
        <w:t xml:space="preserve"> “</w:t>
      </w:r>
      <w:r>
        <w:rPr>
          <w:rFonts w:ascii="Times New Roman" w:hAnsi="Times New Roman" w:cs="Times New Roman"/>
          <w:sz w:val="20"/>
          <w:szCs w:val="20"/>
        </w:rPr>
        <w:t>Mi</w:t>
      </w:r>
      <w:r>
        <w:rPr>
          <w:rFonts w:ascii="Times New Roman" w:hAnsi="Times New Roman" w:cs="Times New Roman"/>
          <w:spacing w:val="-4"/>
          <w:sz w:val="20"/>
          <w:szCs w:val="20"/>
        </w:rPr>
        <w:t xml:space="preserve"> </w:t>
      </w:r>
      <w:r>
        <w:rPr>
          <w:rFonts w:ascii="Times New Roman" w:hAnsi="Times New Roman" w:cs="Times New Roman"/>
          <w:sz w:val="20"/>
          <w:szCs w:val="20"/>
        </w:rPr>
        <w:t>familia</w:t>
      </w:r>
      <w:r>
        <w:rPr>
          <w:rFonts w:ascii="Times New Roman" w:hAnsi="Times New Roman" w:cs="Times New Roman"/>
          <w:spacing w:val="-2"/>
          <w:sz w:val="20"/>
          <w:szCs w:val="20"/>
        </w:rPr>
        <w:t xml:space="preserve"> </w:t>
      </w:r>
      <w:r>
        <w:rPr>
          <w:rFonts w:ascii="Times New Roman" w:hAnsi="Times New Roman" w:cs="Times New Roman"/>
          <w:sz w:val="20"/>
          <w:szCs w:val="20"/>
        </w:rPr>
        <w:t>no</w:t>
      </w:r>
      <w:r>
        <w:rPr>
          <w:rFonts w:ascii="Times New Roman" w:hAnsi="Times New Roman" w:cs="Times New Roman"/>
          <w:spacing w:val="-1"/>
          <w:sz w:val="20"/>
          <w:szCs w:val="20"/>
        </w:rPr>
        <w:t xml:space="preserve"> </w:t>
      </w:r>
      <w:r>
        <w:rPr>
          <w:rFonts w:ascii="Times New Roman" w:hAnsi="Times New Roman" w:cs="Times New Roman"/>
          <w:sz w:val="20"/>
          <w:szCs w:val="20"/>
        </w:rPr>
        <w:t>cree</w:t>
      </w:r>
      <w:r>
        <w:rPr>
          <w:rFonts w:ascii="Times New Roman" w:hAnsi="Times New Roman" w:cs="Times New Roman"/>
          <w:spacing w:val="-3"/>
          <w:sz w:val="20"/>
          <w:szCs w:val="20"/>
        </w:rPr>
        <w:t xml:space="preserve"> </w:t>
      </w:r>
      <w:r>
        <w:rPr>
          <w:rFonts w:ascii="Times New Roman" w:hAnsi="Times New Roman" w:cs="Times New Roman"/>
          <w:sz w:val="20"/>
          <w:szCs w:val="20"/>
        </w:rPr>
        <w:t>que</w:t>
      </w:r>
      <w:r>
        <w:rPr>
          <w:rFonts w:ascii="Times New Roman" w:hAnsi="Times New Roman" w:cs="Times New Roman"/>
          <w:spacing w:val="-3"/>
          <w:sz w:val="20"/>
          <w:szCs w:val="20"/>
        </w:rPr>
        <w:t xml:space="preserve"> </w:t>
      </w:r>
      <w:r>
        <w:rPr>
          <w:rFonts w:ascii="Times New Roman" w:hAnsi="Times New Roman" w:cs="Times New Roman"/>
          <w:sz w:val="20"/>
          <w:szCs w:val="20"/>
        </w:rPr>
        <w:t>la educación</w:t>
      </w:r>
      <w:r>
        <w:rPr>
          <w:rFonts w:ascii="Times New Roman" w:hAnsi="Times New Roman" w:cs="Times New Roman"/>
          <w:spacing w:val="-2"/>
          <w:sz w:val="20"/>
          <w:szCs w:val="20"/>
        </w:rPr>
        <w:t xml:space="preserve"> </w:t>
      </w:r>
      <w:r>
        <w:rPr>
          <w:rFonts w:ascii="Times New Roman" w:hAnsi="Times New Roman" w:cs="Times New Roman"/>
          <w:sz w:val="20"/>
          <w:szCs w:val="20"/>
        </w:rPr>
        <w:t>sea</w:t>
      </w:r>
      <w:r>
        <w:rPr>
          <w:rFonts w:ascii="Times New Roman" w:hAnsi="Times New Roman" w:cs="Times New Roman"/>
          <w:spacing w:val="-2"/>
          <w:sz w:val="20"/>
          <w:szCs w:val="20"/>
        </w:rPr>
        <w:t xml:space="preserve"> </w:t>
      </w:r>
      <w:r>
        <w:rPr>
          <w:rFonts w:ascii="Times New Roman" w:hAnsi="Times New Roman" w:cs="Times New Roman"/>
          <w:sz w:val="20"/>
          <w:szCs w:val="20"/>
        </w:rPr>
        <w:t>importante”,</w:t>
      </w:r>
      <w:r>
        <w:rPr>
          <w:rFonts w:ascii="Times New Roman" w:hAnsi="Times New Roman" w:cs="Times New Roman"/>
          <w:spacing w:val="-4"/>
          <w:sz w:val="20"/>
          <w:szCs w:val="20"/>
        </w:rPr>
        <w:t xml:space="preserve"> </w:t>
      </w:r>
      <w:r>
        <w:rPr>
          <w:rFonts w:ascii="Times New Roman" w:hAnsi="Times New Roman" w:cs="Times New Roman"/>
          <w:sz w:val="20"/>
          <w:szCs w:val="20"/>
        </w:rPr>
        <w:t>la</w:t>
      </w:r>
      <w:r>
        <w:rPr>
          <w:rFonts w:ascii="Times New Roman" w:hAnsi="Times New Roman" w:cs="Times New Roman"/>
          <w:spacing w:val="-2"/>
          <w:sz w:val="20"/>
          <w:szCs w:val="20"/>
        </w:rPr>
        <w:t xml:space="preserve"> </w:t>
      </w:r>
      <w:r>
        <w:rPr>
          <w:rFonts w:ascii="Times New Roman" w:hAnsi="Times New Roman" w:cs="Times New Roman"/>
          <w:sz w:val="20"/>
          <w:szCs w:val="20"/>
        </w:rPr>
        <w:t>muestra</w:t>
      </w:r>
      <w:r>
        <w:rPr>
          <w:rFonts w:ascii="Times New Roman" w:hAnsi="Times New Roman" w:cs="Times New Roman"/>
          <w:spacing w:val="-2"/>
          <w:sz w:val="20"/>
          <w:szCs w:val="20"/>
        </w:rPr>
        <w:t xml:space="preserve"> </w:t>
      </w:r>
      <w:r>
        <w:rPr>
          <w:rFonts w:ascii="Times New Roman" w:hAnsi="Times New Roman" w:cs="Times New Roman"/>
          <w:sz w:val="20"/>
          <w:szCs w:val="20"/>
        </w:rPr>
        <w:t>en</w:t>
      </w:r>
      <w:r>
        <w:rPr>
          <w:rFonts w:ascii="Times New Roman" w:hAnsi="Times New Roman" w:cs="Times New Roman"/>
          <w:spacing w:val="-2"/>
          <w:sz w:val="20"/>
          <w:szCs w:val="20"/>
        </w:rPr>
        <w:t xml:space="preserve"> </w:t>
      </w:r>
      <w:r>
        <w:rPr>
          <w:rFonts w:ascii="Times New Roman" w:hAnsi="Times New Roman" w:cs="Times New Roman"/>
          <w:sz w:val="20"/>
          <w:szCs w:val="20"/>
        </w:rPr>
        <w:t>un</w:t>
      </w:r>
      <w:r>
        <w:rPr>
          <w:rFonts w:ascii="Times New Roman" w:hAnsi="Times New Roman" w:cs="Times New Roman"/>
          <w:spacing w:val="-2"/>
          <w:sz w:val="20"/>
          <w:szCs w:val="20"/>
        </w:rPr>
        <w:t xml:space="preserve"> </w:t>
      </w:r>
      <w:r>
        <w:rPr>
          <w:rFonts w:ascii="Times New Roman" w:hAnsi="Times New Roman" w:cs="Times New Roman"/>
          <w:sz w:val="20"/>
          <w:szCs w:val="20"/>
        </w:rPr>
        <w:t>89.2 % está</w:t>
      </w:r>
      <w:r>
        <w:rPr>
          <w:rFonts w:ascii="Times New Roman" w:hAnsi="Times New Roman" w:cs="Times New Roman"/>
          <w:spacing w:val="-3"/>
          <w:sz w:val="20"/>
          <w:szCs w:val="20"/>
        </w:rPr>
        <w:t xml:space="preserve"> </w:t>
      </w:r>
      <w:r>
        <w:rPr>
          <w:rFonts w:ascii="Times New Roman" w:hAnsi="Times New Roman" w:cs="Times New Roman"/>
          <w:sz w:val="20"/>
          <w:szCs w:val="20"/>
        </w:rPr>
        <w:t>en</w:t>
      </w:r>
      <w:r>
        <w:rPr>
          <w:rFonts w:ascii="Times New Roman" w:hAnsi="Times New Roman" w:cs="Times New Roman"/>
          <w:spacing w:val="-3"/>
          <w:sz w:val="20"/>
          <w:szCs w:val="20"/>
        </w:rPr>
        <w:t xml:space="preserve"> </w:t>
      </w:r>
      <w:r>
        <w:rPr>
          <w:rFonts w:ascii="Times New Roman" w:hAnsi="Times New Roman" w:cs="Times New Roman"/>
          <w:sz w:val="20"/>
          <w:szCs w:val="20"/>
        </w:rPr>
        <w:t>desacuerdo: 61.6</w:t>
      </w:r>
      <w:r>
        <w:rPr>
          <w:rFonts w:ascii="Times New Roman" w:hAnsi="Times New Roman" w:cs="Times New Roman"/>
          <w:spacing w:val="-2"/>
          <w:sz w:val="20"/>
          <w:szCs w:val="20"/>
        </w:rPr>
        <w:t xml:space="preserve"> </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z w:val="20"/>
          <w:szCs w:val="20"/>
        </w:rPr>
        <w:t>está</w:t>
      </w:r>
      <w:r>
        <w:rPr>
          <w:rFonts w:ascii="Times New Roman" w:hAnsi="Times New Roman" w:cs="Times New Roman"/>
          <w:spacing w:val="-3"/>
          <w:sz w:val="20"/>
          <w:szCs w:val="20"/>
        </w:rPr>
        <w:t xml:space="preserve"> </w:t>
      </w:r>
      <w:r>
        <w:rPr>
          <w:rFonts w:ascii="Times New Roman" w:hAnsi="Times New Roman" w:cs="Times New Roman"/>
          <w:sz w:val="20"/>
          <w:szCs w:val="20"/>
        </w:rPr>
        <w:t>en desacuerdo</w:t>
      </w:r>
      <w:r>
        <w:rPr>
          <w:rFonts w:ascii="Times New Roman" w:hAnsi="Times New Roman" w:cs="Times New Roman"/>
          <w:spacing w:val="-2"/>
          <w:sz w:val="20"/>
          <w:szCs w:val="20"/>
        </w:rPr>
        <w:t xml:space="preserve"> </w:t>
      </w:r>
      <w:r>
        <w:rPr>
          <w:rFonts w:ascii="Times New Roman" w:hAnsi="Times New Roman" w:cs="Times New Roman"/>
          <w:sz w:val="20"/>
          <w:szCs w:val="20"/>
        </w:rPr>
        <w:t>total</w:t>
      </w:r>
      <w:r>
        <w:rPr>
          <w:rFonts w:ascii="Times New Roman" w:hAnsi="Times New Roman" w:cs="Times New Roman"/>
          <w:spacing w:val="-3"/>
          <w:sz w:val="20"/>
          <w:szCs w:val="20"/>
        </w:rPr>
        <w:t xml:space="preserve"> </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z w:val="20"/>
          <w:szCs w:val="20"/>
        </w:rPr>
        <w:t>un 27.6</w:t>
      </w:r>
      <w:r>
        <w:rPr>
          <w:rFonts w:ascii="Times New Roman" w:hAnsi="Times New Roman" w:cs="Times New Roman"/>
          <w:spacing w:val="-2"/>
          <w:sz w:val="20"/>
          <w:szCs w:val="20"/>
        </w:rPr>
        <w:t xml:space="preserve"> </w:t>
      </w:r>
      <w:r>
        <w:rPr>
          <w:rFonts w:ascii="Times New Roman" w:hAnsi="Times New Roman" w:cs="Times New Roman"/>
          <w:sz w:val="20"/>
          <w:szCs w:val="20"/>
        </w:rPr>
        <w:t>%,</w:t>
      </w:r>
      <w:r>
        <w:rPr>
          <w:rFonts w:ascii="Times New Roman" w:hAnsi="Times New Roman" w:cs="Times New Roman"/>
          <w:spacing w:val="-4"/>
          <w:sz w:val="20"/>
          <w:szCs w:val="20"/>
        </w:rPr>
        <w:t xml:space="preserve"> </w:t>
      </w:r>
      <w:r>
        <w:rPr>
          <w:rFonts w:ascii="Times New Roman" w:hAnsi="Times New Roman" w:cs="Times New Roman"/>
          <w:sz w:val="20"/>
          <w:szCs w:val="20"/>
        </w:rPr>
        <w:t>en</w:t>
      </w:r>
      <w:r>
        <w:rPr>
          <w:rFonts w:ascii="Times New Roman" w:hAnsi="Times New Roman" w:cs="Times New Roman"/>
          <w:spacing w:val="-3"/>
          <w:sz w:val="20"/>
          <w:szCs w:val="20"/>
        </w:rPr>
        <w:t xml:space="preserve"> </w:t>
      </w:r>
      <w:r>
        <w:rPr>
          <w:rFonts w:ascii="Times New Roman" w:hAnsi="Times New Roman" w:cs="Times New Roman"/>
          <w:sz w:val="20"/>
          <w:szCs w:val="20"/>
        </w:rPr>
        <w:t>desacuerdo.</w:t>
      </w:r>
      <w:r>
        <w:rPr>
          <w:rFonts w:ascii="Times New Roman" w:hAnsi="Times New Roman" w:cs="Times New Roman"/>
          <w:spacing w:val="-4"/>
          <w:sz w:val="20"/>
          <w:szCs w:val="20"/>
        </w:rPr>
        <w:t xml:space="preserve"> </w:t>
      </w:r>
      <w:r>
        <w:rPr>
          <w:rFonts w:ascii="Times New Roman" w:hAnsi="Times New Roman" w:cs="Times New Roman"/>
          <w:sz w:val="20"/>
          <w:szCs w:val="20"/>
        </w:rPr>
        <w:t>Mientras</w:t>
      </w:r>
      <w:r>
        <w:rPr>
          <w:rFonts w:ascii="Times New Roman" w:hAnsi="Times New Roman" w:cs="Times New Roman"/>
          <w:spacing w:val="-2"/>
          <w:sz w:val="20"/>
          <w:szCs w:val="20"/>
        </w:rPr>
        <w:t xml:space="preserve"> </w:t>
      </w:r>
      <w:r>
        <w:rPr>
          <w:rFonts w:ascii="Times New Roman" w:hAnsi="Times New Roman" w:cs="Times New Roman"/>
          <w:sz w:val="20"/>
          <w:szCs w:val="20"/>
        </w:rPr>
        <w:t>que un 10.8 % indica que, en efecto, mi familia no cree que la educación sea importante: un 7.4 % en</w:t>
      </w:r>
      <w:r>
        <w:rPr>
          <w:rFonts w:ascii="Times New Roman" w:hAnsi="Times New Roman" w:cs="Times New Roman"/>
          <w:spacing w:val="-3"/>
          <w:sz w:val="20"/>
          <w:szCs w:val="20"/>
        </w:rPr>
        <w:t xml:space="preserve"> </w:t>
      </w:r>
      <w:r>
        <w:rPr>
          <w:rFonts w:ascii="Times New Roman" w:hAnsi="Times New Roman" w:cs="Times New Roman"/>
          <w:sz w:val="20"/>
          <w:szCs w:val="20"/>
        </w:rPr>
        <w:t>acuerdo</w:t>
      </w:r>
      <w:r>
        <w:rPr>
          <w:rFonts w:ascii="Times New Roman" w:hAnsi="Times New Roman" w:cs="Times New Roman"/>
          <w:spacing w:val="-2"/>
          <w:sz w:val="20"/>
          <w:szCs w:val="20"/>
        </w:rPr>
        <w:t xml:space="preserve"> </w:t>
      </w:r>
      <w:r>
        <w:rPr>
          <w:rFonts w:ascii="Times New Roman" w:hAnsi="Times New Roman" w:cs="Times New Roman"/>
          <w:sz w:val="20"/>
          <w:szCs w:val="20"/>
        </w:rPr>
        <w:t>y</w:t>
      </w:r>
      <w:r>
        <w:rPr>
          <w:rFonts w:ascii="Times New Roman" w:hAnsi="Times New Roman" w:cs="Times New Roman"/>
          <w:spacing w:val="-1"/>
          <w:sz w:val="20"/>
          <w:szCs w:val="20"/>
        </w:rPr>
        <w:t xml:space="preserve"> </w:t>
      </w:r>
      <w:r>
        <w:rPr>
          <w:rFonts w:ascii="Times New Roman" w:hAnsi="Times New Roman" w:cs="Times New Roman"/>
          <w:sz w:val="20"/>
          <w:szCs w:val="20"/>
        </w:rPr>
        <w:t>solo</w:t>
      </w:r>
      <w:r>
        <w:rPr>
          <w:rFonts w:ascii="Times New Roman" w:hAnsi="Times New Roman" w:cs="Times New Roman"/>
          <w:spacing w:val="-2"/>
          <w:sz w:val="20"/>
          <w:szCs w:val="20"/>
        </w:rPr>
        <w:t xml:space="preserve"> </w:t>
      </w:r>
      <w:r>
        <w:rPr>
          <w:rFonts w:ascii="Times New Roman" w:hAnsi="Times New Roman" w:cs="Times New Roman"/>
          <w:sz w:val="20"/>
          <w:szCs w:val="20"/>
        </w:rPr>
        <w:t>un</w:t>
      </w:r>
      <w:r>
        <w:rPr>
          <w:rFonts w:ascii="Times New Roman" w:hAnsi="Times New Roman" w:cs="Times New Roman"/>
          <w:spacing w:val="-3"/>
          <w:sz w:val="20"/>
          <w:szCs w:val="20"/>
        </w:rPr>
        <w:t xml:space="preserve"> </w:t>
      </w:r>
      <w:r>
        <w:rPr>
          <w:rFonts w:ascii="Times New Roman" w:hAnsi="Times New Roman" w:cs="Times New Roman"/>
          <w:sz w:val="20"/>
          <w:szCs w:val="20"/>
        </w:rPr>
        <w:t>3.4</w:t>
      </w:r>
      <w:r>
        <w:rPr>
          <w:rFonts w:ascii="Times New Roman" w:hAnsi="Times New Roman" w:cs="Times New Roman"/>
          <w:spacing w:val="-2"/>
          <w:sz w:val="20"/>
          <w:szCs w:val="20"/>
        </w:rPr>
        <w:t xml:space="preserve"> </w:t>
      </w:r>
      <w:r>
        <w:rPr>
          <w:rFonts w:ascii="Times New Roman" w:hAnsi="Times New Roman" w:cs="Times New Roman"/>
          <w:sz w:val="20"/>
          <w:szCs w:val="20"/>
        </w:rPr>
        <w:t>%</w:t>
      </w:r>
      <w:r>
        <w:rPr>
          <w:rFonts w:ascii="Times New Roman" w:hAnsi="Times New Roman" w:cs="Times New Roman"/>
          <w:spacing w:val="-1"/>
          <w:sz w:val="20"/>
          <w:szCs w:val="20"/>
        </w:rPr>
        <w:t xml:space="preserve"> </w:t>
      </w:r>
      <w:r>
        <w:rPr>
          <w:rFonts w:ascii="Times New Roman" w:hAnsi="Times New Roman" w:cs="Times New Roman"/>
          <w:sz w:val="20"/>
          <w:szCs w:val="20"/>
        </w:rPr>
        <w:t>en</w:t>
      </w:r>
      <w:r>
        <w:rPr>
          <w:rFonts w:ascii="Times New Roman" w:hAnsi="Times New Roman" w:cs="Times New Roman"/>
          <w:spacing w:val="-3"/>
          <w:sz w:val="20"/>
          <w:szCs w:val="20"/>
        </w:rPr>
        <w:t xml:space="preserve"> </w:t>
      </w:r>
      <w:r>
        <w:rPr>
          <w:rFonts w:ascii="Times New Roman" w:hAnsi="Times New Roman" w:cs="Times New Roman"/>
          <w:sz w:val="20"/>
          <w:szCs w:val="20"/>
        </w:rPr>
        <w:t>total</w:t>
      </w:r>
      <w:r>
        <w:rPr>
          <w:rFonts w:ascii="Times New Roman" w:hAnsi="Times New Roman" w:cs="Times New Roman"/>
          <w:spacing w:val="-3"/>
          <w:sz w:val="20"/>
          <w:szCs w:val="20"/>
        </w:rPr>
        <w:t xml:space="preserve"> </w:t>
      </w:r>
      <w:r>
        <w:rPr>
          <w:rFonts w:ascii="Times New Roman" w:hAnsi="Times New Roman" w:cs="Times New Roman"/>
          <w:sz w:val="20"/>
          <w:szCs w:val="20"/>
        </w:rPr>
        <w:t>acuerdo;</w:t>
      </w:r>
      <w:r>
        <w:rPr>
          <w:rFonts w:ascii="Times New Roman" w:hAnsi="Times New Roman" w:cs="Times New Roman"/>
          <w:spacing w:val="-4"/>
          <w:sz w:val="20"/>
          <w:szCs w:val="20"/>
        </w:rPr>
        <w:t xml:space="preserve"> </w:t>
      </w:r>
      <w:r>
        <w:rPr>
          <w:rFonts w:ascii="Times New Roman" w:hAnsi="Times New Roman" w:cs="Times New Roman"/>
          <w:sz w:val="20"/>
          <w:szCs w:val="20"/>
        </w:rPr>
        <w:t>es</w:t>
      </w:r>
      <w:r>
        <w:rPr>
          <w:rFonts w:ascii="Times New Roman" w:hAnsi="Times New Roman" w:cs="Times New Roman"/>
          <w:spacing w:val="-2"/>
          <w:sz w:val="20"/>
          <w:szCs w:val="20"/>
        </w:rPr>
        <w:t xml:space="preserve"> </w:t>
      </w:r>
      <w:r>
        <w:rPr>
          <w:rFonts w:ascii="Times New Roman" w:hAnsi="Times New Roman" w:cs="Times New Roman"/>
          <w:sz w:val="20"/>
          <w:szCs w:val="20"/>
        </w:rPr>
        <w:t>decir,</w:t>
      </w:r>
      <w:r>
        <w:rPr>
          <w:rFonts w:ascii="Times New Roman" w:hAnsi="Times New Roman" w:cs="Times New Roman"/>
          <w:spacing w:val="-4"/>
          <w:sz w:val="20"/>
          <w:szCs w:val="20"/>
        </w:rPr>
        <w:t xml:space="preserve"> </w:t>
      </w:r>
      <w:r>
        <w:rPr>
          <w:rFonts w:ascii="Times New Roman" w:hAnsi="Times New Roman" w:cs="Times New Roman"/>
          <w:sz w:val="20"/>
          <w:szCs w:val="20"/>
        </w:rPr>
        <w:t>las</w:t>
      </w:r>
      <w:r>
        <w:rPr>
          <w:rFonts w:ascii="Times New Roman" w:hAnsi="Times New Roman" w:cs="Times New Roman"/>
          <w:spacing w:val="-2"/>
          <w:sz w:val="20"/>
          <w:szCs w:val="20"/>
        </w:rPr>
        <w:t xml:space="preserve"> </w:t>
      </w:r>
      <w:r>
        <w:rPr>
          <w:rFonts w:ascii="Times New Roman" w:hAnsi="Times New Roman" w:cs="Times New Roman"/>
          <w:sz w:val="20"/>
          <w:szCs w:val="20"/>
        </w:rPr>
        <w:t>familias</w:t>
      </w:r>
      <w:r>
        <w:rPr>
          <w:rFonts w:ascii="Times New Roman" w:hAnsi="Times New Roman" w:cs="Times New Roman"/>
          <w:spacing w:val="-2"/>
          <w:sz w:val="20"/>
          <w:szCs w:val="20"/>
        </w:rPr>
        <w:t xml:space="preserve"> </w:t>
      </w:r>
      <w:r>
        <w:rPr>
          <w:rFonts w:ascii="Times New Roman" w:hAnsi="Times New Roman" w:cs="Times New Roman"/>
          <w:sz w:val="20"/>
          <w:szCs w:val="20"/>
        </w:rPr>
        <w:t>sí valoran</w:t>
      </w:r>
      <w:r>
        <w:rPr>
          <w:rFonts w:ascii="Times New Roman" w:hAnsi="Times New Roman" w:cs="Times New Roman"/>
          <w:spacing w:val="-3"/>
          <w:sz w:val="20"/>
          <w:szCs w:val="20"/>
        </w:rPr>
        <w:t xml:space="preserve"> </w:t>
      </w:r>
      <w:r>
        <w:rPr>
          <w:rFonts w:ascii="Times New Roman" w:hAnsi="Times New Roman" w:cs="Times New Roman"/>
          <w:sz w:val="20"/>
          <w:szCs w:val="20"/>
        </w:rPr>
        <w:t>la</w:t>
      </w:r>
      <w:r>
        <w:rPr>
          <w:rFonts w:ascii="Times New Roman" w:hAnsi="Times New Roman" w:cs="Times New Roman"/>
          <w:spacing w:val="-3"/>
          <w:sz w:val="20"/>
          <w:szCs w:val="20"/>
        </w:rPr>
        <w:t xml:space="preserve"> </w:t>
      </w:r>
      <w:r>
        <w:rPr>
          <w:rFonts w:ascii="Times New Roman" w:hAnsi="Times New Roman" w:cs="Times New Roman"/>
          <w:sz w:val="20"/>
          <w:szCs w:val="20"/>
        </w:rPr>
        <w:t>importancia</w:t>
      </w:r>
      <w:r>
        <w:rPr>
          <w:rFonts w:ascii="Times New Roman" w:hAnsi="Times New Roman" w:cs="Times New Roman"/>
          <w:spacing w:val="-3"/>
          <w:sz w:val="20"/>
          <w:szCs w:val="20"/>
        </w:rPr>
        <w:t xml:space="preserve"> </w:t>
      </w:r>
      <w:r>
        <w:rPr>
          <w:rFonts w:ascii="Times New Roman" w:hAnsi="Times New Roman" w:cs="Times New Roman"/>
          <w:sz w:val="20"/>
          <w:szCs w:val="20"/>
        </w:rPr>
        <w:t xml:space="preserve">del </w:t>
      </w:r>
      <w:r>
        <w:rPr>
          <w:rFonts w:ascii="Times New Roman" w:hAnsi="Times New Roman" w:cs="Times New Roman"/>
          <w:spacing w:val="-2"/>
          <w:sz w:val="20"/>
          <w:szCs w:val="20"/>
        </w:rPr>
        <w:t>estudio.</w:t>
      </w:r>
    </w:p>
    <w:p w:rsidR="00BB1A0F" w:rsidRDefault="00364EA7">
      <w:pPr>
        <w:pStyle w:val="NormalWeb"/>
        <w:spacing w:before="0" w:beforeAutospacing="0" w:after="0" w:afterAutospacing="0"/>
        <w:ind w:firstLine="709"/>
        <w:jc w:val="both"/>
        <w:rPr>
          <w:sz w:val="20"/>
        </w:rPr>
      </w:pPr>
      <w:r>
        <w:rPr>
          <w:sz w:val="20"/>
        </w:rPr>
        <w:t xml:space="preserve">Para </w:t>
      </w:r>
      <w:r>
        <w:rPr>
          <w:rStyle w:val="Strong"/>
          <w:b w:val="0"/>
          <w:sz w:val="20"/>
        </w:rPr>
        <w:t>la</w:t>
      </w:r>
      <w:r>
        <w:rPr>
          <w:sz w:val="20"/>
        </w:rPr>
        <w:t xml:space="preserve"> muestra estudiada, el aprendizaje adquirido en la escuela sí tiene importancia para el futuro en un porcentaje elevado. Esto quiere decir que los estudiantes y padres de familia de los distintos grados de educación secundaria consideran </w:t>
      </w:r>
      <w:r>
        <w:rPr>
          <w:rStyle w:val="Strong"/>
          <w:b w:val="0"/>
          <w:sz w:val="20"/>
        </w:rPr>
        <w:t>que</w:t>
      </w:r>
      <w:r>
        <w:rPr>
          <w:sz w:val="20"/>
        </w:rPr>
        <w:t xml:space="preserve"> la educación q</w:t>
      </w:r>
      <w:r>
        <w:rPr>
          <w:sz w:val="20"/>
        </w:rPr>
        <w:t xml:space="preserve">ue reciben es muy importante. Si bien no hay </w:t>
      </w:r>
      <w:r>
        <w:rPr>
          <w:rStyle w:val="Strong"/>
          <w:b w:val="0"/>
          <w:sz w:val="20"/>
        </w:rPr>
        <w:t>un</w:t>
      </w:r>
      <w:r>
        <w:rPr>
          <w:sz w:val="20"/>
        </w:rPr>
        <w:t xml:space="preserve"> estudio que describa la apreciación de todos los grados, especialmente de los primeros grados de educación secundaria, el estudio contradice </w:t>
      </w:r>
      <w:r>
        <w:rPr>
          <w:rStyle w:val="Strong"/>
          <w:b w:val="0"/>
          <w:sz w:val="20"/>
        </w:rPr>
        <w:t>la</w:t>
      </w:r>
      <w:r>
        <w:rPr>
          <w:b/>
          <w:sz w:val="20"/>
        </w:rPr>
        <w:t xml:space="preserve"> </w:t>
      </w:r>
      <w:r>
        <w:rPr>
          <w:sz w:val="20"/>
        </w:rPr>
        <w:t xml:space="preserve">conclusión de </w:t>
      </w:r>
      <w:proofErr w:type="spellStart"/>
      <w:r>
        <w:rPr>
          <w:sz w:val="20"/>
        </w:rPr>
        <w:t>Corica</w:t>
      </w:r>
      <w:proofErr w:type="spellEnd"/>
      <w:r>
        <w:rPr>
          <w:sz w:val="20"/>
        </w:rPr>
        <w:t xml:space="preserve"> (2012), quien manifiesta que la </w:t>
      </w:r>
      <w:r>
        <w:rPr>
          <w:rStyle w:val="Strong"/>
          <w:b w:val="0"/>
          <w:sz w:val="20"/>
        </w:rPr>
        <w:t>brecha</w:t>
      </w:r>
      <w:r>
        <w:rPr>
          <w:sz w:val="20"/>
        </w:rPr>
        <w:t xml:space="preserve"> econ</w:t>
      </w:r>
      <w:r>
        <w:rPr>
          <w:sz w:val="20"/>
        </w:rPr>
        <w:t xml:space="preserve">ómica define el futuro. En el caso del estudio, se manifiesta que, en situaciones vulnerables económicamente, también </w:t>
      </w:r>
      <w:r>
        <w:rPr>
          <w:rStyle w:val="Strong"/>
          <w:b w:val="0"/>
          <w:sz w:val="20"/>
        </w:rPr>
        <w:t>se tiene</w:t>
      </w:r>
      <w:r>
        <w:rPr>
          <w:sz w:val="20"/>
        </w:rPr>
        <w:t xml:space="preserve"> esperanza en que la educación </w:t>
      </w:r>
      <w:r>
        <w:rPr>
          <w:rStyle w:val="Strong"/>
          <w:sz w:val="20"/>
        </w:rPr>
        <w:t>es</w:t>
      </w:r>
      <w:r>
        <w:rPr>
          <w:sz w:val="20"/>
        </w:rPr>
        <w:t xml:space="preserve"> el arma para cambiar el futuro personal.</w:t>
      </w:r>
    </w:p>
    <w:p w:rsidR="00BB1A0F" w:rsidRDefault="00364EA7">
      <w:pPr>
        <w:pStyle w:val="NormalWeb"/>
        <w:spacing w:before="0" w:beforeAutospacing="0" w:after="0" w:afterAutospacing="0"/>
        <w:ind w:firstLine="709"/>
        <w:jc w:val="both"/>
        <w:rPr>
          <w:sz w:val="20"/>
        </w:rPr>
      </w:pPr>
      <w:r>
        <w:rPr>
          <w:sz w:val="20"/>
        </w:rPr>
        <w:t xml:space="preserve">En cuanto a la motivación que brinda el maestro en las </w:t>
      </w:r>
      <w:r>
        <w:rPr>
          <w:sz w:val="20"/>
        </w:rPr>
        <w:t>clases diarias, la muestra estudiada reconoce el esfuerzo de los docentes. Asimismo, se interpreta que los docentes se preocupan por entregarles un aprendizaje para la vida a los estudiantes. Esto refuerza la apreciación de Mero (2023), que concluye que la</w:t>
      </w:r>
      <w:r>
        <w:rPr>
          <w:sz w:val="20"/>
        </w:rPr>
        <w:t xml:space="preserve"> motivación del maestro influye en el aprendizaje del estudiante.</w:t>
      </w:r>
    </w:p>
    <w:p w:rsidR="00BB1A0F" w:rsidRDefault="00364EA7">
      <w:pPr>
        <w:pStyle w:val="NormalWeb"/>
        <w:spacing w:before="0" w:beforeAutospacing="0" w:after="0" w:afterAutospacing="0"/>
        <w:ind w:firstLine="709"/>
        <w:jc w:val="both"/>
        <w:rPr>
          <w:sz w:val="20"/>
        </w:rPr>
      </w:pPr>
      <w:r>
        <w:rPr>
          <w:sz w:val="20"/>
        </w:rPr>
        <w:t xml:space="preserve">En relación </w:t>
      </w:r>
      <w:r>
        <w:rPr>
          <w:rStyle w:val="Strong"/>
          <w:b w:val="0"/>
          <w:sz w:val="20"/>
        </w:rPr>
        <w:t>con</w:t>
      </w:r>
      <w:r>
        <w:rPr>
          <w:sz w:val="20"/>
        </w:rPr>
        <w:t xml:space="preserve"> la percepción de la familia sobre la importancia de la educación, el grupo estudiado considera que el aprendizaje de los hijos es crucial para la familia. Es decir, existe un</w:t>
      </w:r>
      <w:r>
        <w:rPr>
          <w:sz w:val="20"/>
        </w:rPr>
        <w:t xml:space="preserve">a preocupación por garantizar un futuro prometedor mediante una educación adecuada en las escuelas. Este punto </w:t>
      </w:r>
      <w:r>
        <w:rPr>
          <w:rStyle w:val="Strong"/>
          <w:b w:val="0"/>
          <w:sz w:val="20"/>
        </w:rPr>
        <w:t>está</w:t>
      </w:r>
      <w:r>
        <w:rPr>
          <w:sz w:val="20"/>
        </w:rPr>
        <w:t xml:space="preserve"> respaldado por </w:t>
      </w:r>
      <w:proofErr w:type="spellStart"/>
      <w:r>
        <w:rPr>
          <w:sz w:val="20"/>
        </w:rPr>
        <w:t>Cansaya</w:t>
      </w:r>
      <w:proofErr w:type="spellEnd"/>
      <w:r>
        <w:rPr>
          <w:sz w:val="20"/>
        </w:rPr>
        <w:t xml:space="preserve"> y Franco, quienes afirman que la educación es vista por las familias como una herramienta esencial y un legado fundam</w:t>
      </w:r>
      <w:r>
        <w:rPr>
          <w:sz w:val="20"/>
        </w:rPr>
        <w:t>ental en la actualidad. De manera similar, Pizarro et al. (2013) destacan que la familia tiene un papel crucial y de gran influencia en la educación y el aprendizaje de los estudiantes.</w:t>
      </w:r>
    </w:p>
    <w:p w:rsidR="00BB1A0F" w:rsidRDefault="00364EA7">
      <w:pPr>
        <w:pStyle w:val="NormalWeb"/>
        <w:spacing w:before="0" w:beforeAutospacing="0" w:after="0" w:afterAutospacing="0"/>
        <w:jc w:val="both"/>
        <w:rPr>
          <w:b/>
          <w:sz w:val="22"/>
          <w:szCs w:val="20"/>
        </w:rPr>
      </w:pPr>
      <w:r>
        <w:rPr>
          <w:b/>
          <w:sz w:val="22"/>
          <w:szCs w:val="20"/>
        </w:rPr>
        <w:lastRenderedPageBreak/>
        <w:t>CONCLUSIONES</w:t>
      </w:r>
    </w:p>
    <w:p w:rsidR="00BB1A0F" w:rsidRDefault="00364EA7">
      <w:pPr>
        <w:pStyle w:val="NormalWeb"/>
        <w:spacing w:before="0" w:beforeAutospacing="0" w:after="0" w:afterAutospacing="0"/>
        <w:ind w:firstLine="709"/>
        <w:jc w:val="both"/>
        <w:rPr>
          <w:sz w:val="20"/>
        </w:rPr>
      </w:pPr>
      <w:r>
        <w:rPr>
          <w:sz w:val="20"/>
        </w:rPr>
        <w:t xml:space="preserve">La educación que reciben en la institución educativa </w:t>
      </w:r>
      <w:r>
        <w:rPr>
          <w:rStyle w:val="Strong"/>
          <w:b w:val="0"/>
          <w:sz w:val="20"/>
        </w:rPr>
        <w:t>les</w:t>
      </w:r>
      <w:r>
        <w:rPr>
          <w:sz w:val="20"/>
        </w:rPr>
        <w:t xml:space="preserve"> servirá para el futuro en un porcentaje bastante elevado. Esta información refuerza la intención del Estado de brindarles educación para un </w:t>
      </w:r>
      <w:r>
        <w:rPr>
          <w:rStyle w:val="Strong"/>
          <w:b w:val="0"/>
          <w:sz w:val="20"/>
        </w:rPr>
        <w:t>futuro</w:t>
      </w:r>
      <w:r>
        <w:rPr>
          <w:sz w:val="20"/>
        </w:rPr>
        <w:t xml:space="preserve"> promisorio. </w:t>
      </w:r>
      <w:r>
        <w:rPr>
          <w:rStyle w:val="Strong"/>
          <w:b w:val="0"/>
          <w:sz w:val="20"/>
        </w:rPr>
        <w:t>Además,</w:t>
      </w:r>
      <w:r>
        <w:rPr>
          <w:sz w:val="20"/>
        </w:rPr>
        <w:t xml:space="preserve"> confirma que los estudiantes tienen motivos para seguir concurriendo a las instituciones educativas.</w:t>
      </w:r>
    </w:p>
    <w:p w:rsidR="00BB1A0F" w:rsidRDefault="00364EA7">
      <w:pPr>
        <w:pStyle w:val="NormalWeb"/>
        <w:spacing w:before="0" w:beforeAutospacing="0" w:after="0" w:afterAutospacing="0"/>
        <w:ind w:firstLine="709"/>
        <w:jc w:val="both"/>
        <w:rPr>
          <w:sz w:val="20"/>
        </w:rPr>
      </w:pPr>
      <w:r>
        <w:rPr>
          <w:sz w:val="20"/>
        </w:rPr>
        <w:t xml:space="preserve">Asimismo, se valora la presencia del maestro como el principal </w:t>
      </w:r>
      <w:r>
        <w:rPr>
          <w:rStyle w:val="Strong"/>
          <w:b w:val="0"/>
          <w:sz w:val="20"/>
        </w:rPr>
        <w:t xml:space="preserve">influyente </w:t>
      </w:r>
      <w:r>
        <w:rPr>
          <w:sz w:val="20"/>
        </w:rPr>
        <w:t xml:space="preserve">en la formación del ciudadano del futuro. Las clases que imparte en las aulas </w:t>
      </w:r>
      <w:r>
        <w:rPr>
          <w:rStyle w:val="Strong"/>
          <w:b w:val="0"/>
          <w:sz w:val="20"/>
        </w:rPr>
        <w:t>so</w:t>
      </w:r>
      <w:r>
        <w:rPr>
          <w:rStyle w:val="Strong"/>
          <w:b w:val="0"/>
          <w:sz w:val="20"/>
        </w:rPr>
        <w:t>n</w:t>
      </w:r>
      <w:r>
        <w:rPr>
          <w:sz w:val="20"/>
        </w:rPr>
        <w:t xml:space="preserve"> importantes para su educación. Sin embargo, un porcentaje mínimo </w:t>
      </w:r>
      <w:r>
        <w:rPr>
          <w:rStyle w:val="Strong"/>
          <w:b w:val="0"/>
          <w:sz w:val="20"/>
        </w:rPr>
        <w:t>de los encuestados</w:t>
      </w:r>
      <w:r>
        <w:rPr>
          <w:b/>
          <w:sz w:val="20"/>
        </w:rPr>
        <w:t xml:space="preserve"> </w:t>
      </w:r>
      <w:r>
        <w:rPr>
          <w:sz w:val="20"/>
        </w:rPr>
        <w:t xml:space="preserve">también considera </w:t>
      </w:r>
      <w:r>
        <w:rPr>
          <w:rStyle w:val="Strong"/>
          <w:b w:val="0"/>
          <w:sz w:val="20"/>
        </w:rPr>
        <w:t>poco</w:t>
      </w:r>
      <w:r>
        <w:rPr>
          <w:sz w:val="20"/>
        </w:rPr>
        <w:t xml:space="preserve"> influyente la presencia de los maestros. Este </w:t>
      </w:r>
      <w:r>
        <w:rPr>
          <w:rStyle w:val="Strong"/>
          <w:b w:val="0"/>
          <w:sz w:val="20"/>
        </w:rPr>
        <w:t>hecho</w:t>
      </w:r>
      <w:r>
        <w:rPr>
          <w:sz w:val="20"/>
        </w:rPr>
        <w:t xml:space="preserve"> debe preocupar al Estado para revisar las estrategias pedagógicas de los maestros en las aulas.</w:t>
      </w:r>
    </w:p>
    <w:p w:rsidR="00BB1A0F" w:rsidRDefault="00364EA7">
      <w:pPr>
        <w:pStyle w:val="NormalWeb"/>
        <w:spacing w:before="0" w:beforeAutospacing="0" w:after="0" w:afterAutospacing="0"/>
        <w:ind w:firstLine="709"/>
        <w:jc w:val="both"/>
        <w:rPr>
          <w:sz w:val="20"/>
        </w:rPr>
      </w:pPr>
      <w:r>
        <w:rPr>
          <w:sz w:val="20"/>
        </w:rPr>
        <w:t xml:space="preserve">Finalmente, a pesar de provenir de diferentes contextos familiares, independientemente de su situación, </w:t>
      </w:r>
      <w:r>
        <w:rPr>
          <w:rStyle w:val="Strong"/>
          <w:b w:val="0"/>
          <w:sz w:val="20"/>
        </w:rPr>
        <w:t>las familias</w:t>
      </w:r>
      <w:r>
        <w:rPr>
          <w:sz w:val="20"/>
        </w:rPr>
        <w:t xml:space="preserve"> valoran la educación como clave para el futuro de sus hijos. En otras palabras, la mayoría considera que la educación de sus hijos es fund</w:t>
      </w:r>
      <w:r>
        <w:rPr>
          <w:sz w:val="20"/>
        </w:rPr>
        <w:t>amental para asegurarles un futuro prometedor, sin importar las circunstancias en las que se encuentren.</w:t>
      </w:r>
    </w:p>
    <w:p w:rsidR="00BB1A0F" w:rsidRDefault="00BB1A0F">
      <w:pPr>
        <w:pStyle w:val="NormalWeb"/>
        <w:spacing w:before="0" w:beforeAutospacing="0" w:after="0" w:afterAutospacing="0"/>
        <w:jc w:val="both"/>
        <w:rPr>
          <w:b/>
          <w:sz w:val="22"/>
          <w:szCs w:val="20"/>
        </w:rPr>
      </w:pPr>
    </w:p>
    <w:p w:rsidR="00BB1A0F" w:rsidRPr="00E91822" w:rsidRDefault="00364EA7">
      <w:pPr>
        <w:pStyle w:val="NormalWeb"/>
        <w:spacing w:before="0" w:beforeAutospacing="0" w:after="0" w:afterAutospacing="0"/>
        <w:rPr>
          <w:b/>
          <w:sz w:val="22"/>
          <w:lang w:val="es-VE"/>
        </w:rPr>
      </w:pPr>
      <w:r w:rsidRPr="00E91822">
        <w:rPr>
          <w:b/>
          <w:sz w:val="22"/>
          <w:lang w:val="es-VE"/>
        </w:rPr>
        <w:t>REFERENCIAS</w:t>
      </w:r>
    </w:p>
    <w:sdt>
      <w:sdtPr>
        <w:rPr>
          <w:rFonts w:ascii="Times New Roman" w:hAnsi="Times New Roman" w:cs="Times New Roman"/>
          <w:sz w:val="18"/>
          <w:szCs w:val="18"/>
          <w:lang w:val="pt-BR"/>
        </w:rPr>
        <w:id w:val="-858204628"/>
      </w:sdtPr>
      <w:sdtEndPr/>
      <w:sdtContent>
        <w:p w:rsidR="00BB1A0F" w:rsidRDefault="00364EA7">
          <w:pPr>
            <w:spacing w:after="0" w:line="240" w:lineRule="auto"/>
            <w:ind w:left="709" w:hanging="709"/>
            <w:jc w:val="both"/>
            <w:rPr>
              <w:rFonts w:ascii="Times New Roman" w:hAnsi="Times New Roman" w:cs="Times New Roman"/>
              <w:i/>
              <w:sz w:val="17"/>
              <w:szCs w:val="17"/>
              <w:lang w:val="es-ES"/>
            </w:rPr>
          </w:pPr>
          <w:r>
            <w:rPr>
              <w:rFonts w:ascii="Times New Roman" w:hAnsi="Times New Roman" w:cs="Times New Roman"/>
              <w:sz w:val="17"/>
              <w:szCs w:val="17"/>
              <w:lang w:val="es-ES"/>
            </w:rPr>
            <w:t>Agencia Educación de Chile</w:t>
          </w:r>
          <w:r>
            <w:rPr>
              <w:rFonts w:ascii="Times New Roman" w:hAnsi="Times New Roman" w:cs="Times New Roman"/>
              <w:sz w:val="17"/>
              <w:szCs w:val="17"/>
              <w:lang w:val="es-VE"/>
            </w:rPr>
            <w:t xml:space="preserve"> (2019)</w:t>
          </w:r>
          <w:r>
            <w:rPr>
              <w:rFonts w:ascii="Times New Roman" w:hAnsi="Times New Roman" w:cs="Times New Roman"/>
              <w:sz w:val="17"/>
              <w:szCs w:val="17"/>
              <w:lang w:val="es-ES"/>
            </w:rPr>
            <w:t>.</w:t>
          </w:r>
          <w:r>
            <w:rPr>
              <w:rFonts w:ascii="Times New Roman" w:hAnsi="Times New Roman" w:cs="Times New Roman"/>
              <w:sz w:val="17"/>
              <w:szCs w:val="17"/>
              <w:lang w:val="es-VE"/>
            </w:rPr>
            <w:t xml:space="preserve"> </w:t>
          </w:r>
          <w:r>
            <w:rPr>
              <w:rFonts w:ascii="Times New Roman" w:hAnsi="Times New Roman" w:cs="Times New Roman"/>
              <w:i/>
              <w:sz w:val="17"/>
              <w:szCs w:val="17"/>
              <w:lang w:val="es-ES"/>
            </w:rPr>
            <w:t xml:space="preserve">Factores asociados a mejores Resultados Educativos. </w:t>
          </w:r>
          <w:r>
            <w:rPr>
              <w:rFonts w:ascii="Times New Roman" w:hAnsi="Times New Roman" w:cs="Times New Roman"/>
              <w:color w:val="4472C4" w:themeColor="accent1"/>
              <w:sz w:val="17"/>
              <w:szCs w:val="17"/>
              <w:u w:val="single"/>
              <w:lang w:val="es-ES"/>
            </w:rPr>
            <w:t>https://archivos.agenciaeducacion.cl/Expectativas_educativas.pdf</w:t>
          </w:r>
        </w:p>
        <w:p w:rsidR="00BB1A0F" w:rsidRDefault="00364EA7">
          <w:pPr>
            <w:spacing w:after="0" w:line="240" w:lineRule="auto"/>
            <w:ind w:left="709" w:hanging="709"/>
            <w:jc w:val="both"/>
            <w:rPr>
              <w:rFonts w:ascii="Times New Roman" w:hAnsi="Times New Roman" w:cs="Times New Roman"/>
              <w:sz w:val="17"/>
              <w:szCs w:val="17"/>
              <w:lang w:val="pt-BR"/>
            </w:rPr>
          </w:pPr>
          <w:r>
            <w:rPr>
              <w:rFonts w:ascii="Times New Roman" w:hAnsi="Times New Roman" w:cs="Times New Roman"/>
              <w:sz w:val="17"/>
              <w:szCs w:val="17"/>
              <w:lang w:val="pt-BR"/>
            </w:rPr>
            <w:t xml:space="preserve">Bohon, S., Kirkpatrick, J., y Bridget K. Gorman (2006). College aspirations and expectations among latino adolescents in the United States. </w:t>
          </w:r>
          <w:r>
            <w:rPr>
              <w:rFonts w:ascii="Times New Roman" w:hAnsi="Times New Roman" w:cs="Times New Roman"/>
              <w:i/>
              <w:sz w:val="17"/>
              <w:szCs w:val="17"/>
              <w:lang w:val="pt-BR"/>
            </w:rPr>
            <w:t>Social Problems, 53</w:t>
          </w:r>
          <w:r>
            <w:rPr>
              <w:rFonts w:ascii="Times New Roman" w:hAnsi="Times New Roman" w:cs="Times New Roman"/>
              <w:sz w:val="17"/>
              <w:szCs w:val="17"/>
              <w:lang w:val="pt-BR"/>
            </w:rPr>
            <w:t xml:space="preserve">(2), 207-225. </w:t>
          </w:r>
          <w:r>
            <w:rPr>
              <w:rFonts w:ascii="Times New Roman" w:hAnsi="Times New Roman" w:cs="Times New Roman"/>
              <w:color w:val="4472C4" w:themeColor="accent1"/>
              <w:sz w:val="17"/>
              <w:szCs w:val="17"/>
              <w:u w:val="single"/>
              <w:lang w:val="pt-BR"/>
            </w:rPr>
            <w:t>https://www.jstor.org/stable/10.1525/sp.2006.53.2.207</w:t>
          </w:r>
        </w:p>
        <w:p w:rsidR="00BB1A0F" w:rsidRDefault="00364EA7">
          <w:pPr>
            <w:spacing w:after="0" w:line="240" w:lineRule="auto"/>
            <w:ind w:left="709" w:hanging="709"/>
            <w:jc w:val="both"/>
            <w:rPr>
              <w:rFonts w:ascii="Times New Roman" w:hAnsi="Times New Roman" w:cs="Times New Roman"/>
              <w:sz w:val="17"/>
              <w:szCs w:val="17"/>
              <w:lang w:val="pt-BR"/>
            </w:rPr>
          </w:pPr>
          <w:r>
            <w:rPr>
              <w:rFonts w:ascii="Times New Roman" w:hAnsi="Times New Roman" w:cs="Times New Roman"/>
              <w:sz w:val="17"/>
              <w:szCs w:val="17"/>
              <w:lang w:val="pt-BR"/>
            </w:rPr>
            <w:t xml:space="preserve">Cansaya, Y. y Franco, M. (2023). Participación de la familia en la educación. Horizonte. </w:t>
          </w:r>
          <w:r>
            <w:rPr>
              <w:rFonts w:ascii="Times New Roman" w:hAnsi="Times New Roman" w:cs="Times New Roman"/>
              <w:i/>
              <w:sz w:val="17"/>
              <w:szCs w:val="17"/>
              <w:lang w:val="pt-BR"/>
            </w:rPr>
            <w:t>Revista de Investigación en Ciencias de la Educación. 7</w:t>
          </w:r>
          <w:r>
            <w:rPr>
              <w:rFonts w:ascii="Times New Roman" w:hAnsi="Times New Roman" w:cs="Times New Roman"/>
              <w:sz w:val="17"/>
              <w:szCs w:val="17"/>
              <w:lang w:val="pt-BR"/>
            </w:rPr>
            <w:t xml:space="preserve">(27). </w:t>
          </w:r>
          <w:r>
            <w:rPr>
              <w:rFonts w:ascii="Times New Roman" w:hAnsi="Times New Roman" w:cs="Times New Roman"/>
              <w:color w:val="4472C4" w:themeColor="accent1"/>
              <w:sz w:val="17"/>
              <w:szCs w:val="17"/>
              <w:u w:val="single"/>
              <w:lang w:val="pt-BR"/>
            </w:rPr>
            <w:t>https://doi.org/10.33996/revistahorizontes.v7i27.506</w:t>
          </w:r>
        </w:p>
        <w:p w:rsidR="00BB1A0F" w:rsidRDefault="00364EA7">
          <w:pPr>
            <w:spacing w:after="0" w:line="240" w:lineRule="auto"/>
            <w:ind w:left="709" w:hanging="709"/>
            <w:jc w:val="both"/>
            <w:rPr>
              <w:rFonts w:ascii="Times New Roman" w:hAnsi="Times New Roman" w:cs="Times New Roman"/>
              <w:color w:val="4472C4" w:themeColor="accent1"/>
              <w:sz w:val="17"/>
              <w:szCs w:val="17"/>
              <w:u w:val="single"/>
              <w:lang w:val="pt-BR"/>
            </w:rPr>
          </w:pPr>
          <w:r>
            <w:rPr>
              <w:rFonts w:ascii="Times New Roman" w:hAnsi="Times New Roman" w:cs="Times New Roman"/>
              <w:sz w:val="17"/>
              <w:szCs w:val="17"/>
              <w:lang w:val="pt-BR"/>
            </w:rPr>
            <w:t xml:space="preserve">Conde, A., Deaño, M., Pinto, A., Iglesias, V., Alfonso, S., García, M., Limia, S. y Tellado, F. (2017). Expectativas académicas y planificación. claves para la interpretación del fracaso y el abandono académico. </w:t>
          </w:r>
          <w:r>
            <w:rPr>
              <w:rFonts w:ascii="Times New Roman" w:hAnsi="Times New Roman" w:cs="Times New Roman"/>
              <w:i/>
              <w:sz w:val="17"/>
              <w:szCs w:val="17"/>
              <w:lang w:val="pt-BR"/>
            </w:rPr>
            <w:t xml:space="preserve">International Journal of Developmental and </w:t>
          </w:r>
          <w:r>
            <w:rPr>
              <w:rFonts w:ascii="Times New Roman" w:hAnsi="Times New Roman" w:cs="Times New Roman"/>
              <w:i/>
              <w:sz w:val="17"/>
              <w:szCs w:val="17"/>
              <w:lang w:val="pt-BR"/>
            </w:rPr>
            <w:t>Educational Psychology INFAD</w:t>
          </w:r>
          <w:r>
            <w:rPr>
              <w:rFonts w:ascii="Times New Roman" w:hAnsi="Times New Roman" w:cs="Times New Roman"/>
              <w:sz w:val="17"/>
              <w:szCs w:val="17"/>
              <w:lang w:val="pt-BR"/>
            </w:rPr>
            <w:t xml:space="preserve">, </w:t>
          </w:r>
          <w:r>
            <w:rPr>
              <w:rFonts w:ascii="Times New Roman" w:hAnsi="Times New Roman" w:cs="Times New Roman"/>
              <w:i/>
              <w:sz w:val="17"/>
              <w:szCs w:val="17"/>
              <w:lang w:val="pt-BR"/>
            </w:rPr>
            <w:t>1,</w:t>
          </w:r>
          <w:r>
            <w:rPr>
              <w:rFonts w:ascii="Times New Roman" w:hAnsi="Times New Roman" w:cs="Times New Roman"/>
              <w:sz w:val="17"/>
              <w:szCs w:val="17"/>
              <w:lang w:val="pt-BR"/>
            </w:rPr>
            <w:t xml:space="preserve"> 167-176. </w:t>
          </w:r>
          <w:r>
            <w:rPr>
              <w:rFonts w:ascii="Times New Roman" w:hAnsi="Times New Roman" w:cs="Times New Roman"/>
              <w:color w:val="4472C4" w:themeColor="accent1"/>
              <w:sz w:val="17"/>
              <w:szCs w:val="17"/>
              <w:u w:val="single"/>
              <w:lang w:val="pt-BR"/>
            </w:rPr>
            <w:t>http://www.redalyc.org/revista.oa?id=3498</w:t>
          </w:r>
        </w:p>
        <w:p w:rsidR="00BB1A0F" w:rsidRDefault="00364EA7">
          <w:pPr>
            <w:spacing w:after="0" w:line="240" w:lineRule="auto"/>
            <w:ind w:left="709" w:hanging="709"/>
            <w:jc w:val="both"/>
            <w:rPr>
              <w:rFonts w:ascii="Times New Roman" w:hAnsi="Times New Roman" w:cs="Times New Roman"/>
              <w:color w:val="4472C4" w:themeColor="accent1"/>
              <w:sz w:val="17"/>
              <w:szCs w:val="17"/>
              <w:u w:val="single"/>
              <w:lang w:val="pt-BR"/>
            </w:rPr>
          </w:pPr>
          <w:r>
            <w:rPr>
              <w:rFonts w:ascii="Times New Roman" w:hAnsi="Times New Roman" w:cs="Times New Roman"/>
              <w:sz w:val="17"/>
              <w:szCs w:val="17"/>
              <w:lang w:val="pt-BR"/>
            </w:rPr>
            <w:t xml:space="preserve">Consejo Nacional de Educación (2022). </w:t>
          </w:r>
          <w:r>
            <w:rPr>
              <w:rFonts w:ascii="Times New Roman" w:hAnsi="Times New Roman" w:cs="Times New Roman"/>
              <w:i/>
              <w:sz w:val="17"/>
              <w:szCs w:val="17"/>
              <w:lang w:val="pt-BR"/>
            </w:rPr>
            <w:t>Problemas Críticos de la Educación Secundaria en el Perú.</w:t>
          </w:r>
          <w:r>
            <w:rPr>
              <w:rFonts w:ascii="Times New Roman" w:hAnsi="Times New Roman" w:cs="Times New Roman"/>
              <w:sz w:val="17"/>
              <w:szCs w:val="17"/>
              <w:lang w:val="pt-BR"/>
            </w:rPr>
            <w:t xml:space="preserve"> </w:t>
          </w:r>
          <w:r>
            <w:rPr>
              <w:rFonts w:ascii="Times New Roman" w:hAnsi="Times New Roman" w:cs="Times New Roman"/>
              <w:color w:val="4472C4" w:themeColor="accent1"/>
              <w:sz w:val="17"/>
              <w:szCs w:val="17"/>
              <w:u w:val="single"/>
              <w:lang w:val="pt-BR"/>
            </w:rPr>
            <w:t>https://cdn.www.gob.pe/uploads/document/file/6172492/5445311-documento-de-tr</w:t>
          </w:r>
          <w:r>
            <w:rPr>
              <w:rFonts w:ascii="Times New Roman" w:hAnsi="Times New Roman" w:cs="Times New Roman"/>
              <w:color w:val="4472C4" w:themeColor="accent1"/>
              <w:sz w:val="17"/>
              <w:szCs w:val="17"/>
              <w:u w:val="single"/>
              <w:lang w:val="pt-BR"/>
            </w:rPr>
            <w:t>abajo-problemas-criticos-de-la-educacion-secundaria-en-el- peru.pdf?v=1712770560</w:t>
          </w:r>
        </w:p>
        <w:p w:rsidR="00BB1A0F" w:rsidRDefault="00364EA7">
          <w:pPr>
            <w:spacing w:after="0" w:line="240" w:lineRule="auto"/>
            <w:ind w:left="709" w:hanging="709"/>
            <w:jc w:val="both"/>
            <w:rPr>
              <w:rFonts w:ascii="Times New Roman" w:hAnsi="Times New Roman" w:cs="Times New Roman"/>
              <w:sz w:val="17"/>
              <w:szCs w:val="17"/>
              <w:lang w:val="es-ES"/>
            </w:rPr>
          </w:pPr>
          <w:hyperlink r:id="rId15" w:tooltip="http://www.scielo.cl/cgi-bin/wxis.exe/iah/?IsisScript=iah/iah.xis&amp;base=article%5Edlibrary&amp;format=iso.pft&amp;lang=e&amp;nextAction=lnk&amp;indexSearch=AU&amp;exprSearch=CORICA%2C%2BAGUSTINA" w:history="1">
            <w:r>
              <w:rPr>
                <w:rStyle w:val="Hyperlink"/>
                <w:rFonts w:ascii="Times New Roman" w:hAnsi="Times New Roman" w:cs="Times New Roman"/>
                <w:color w:val="auto"/>
                <w:sz w:val="17"/>
                <w:szCs w:val="17"/>
                <w:u w:val="none"/>
                <w:lang w:val="es-ES"/>
              </w:rPr>
              <w:t>Corica, A.</w:t>
            </w:r>
          </w:hyperlink>
          <w:r>
            <w:rPr>
              <w:rFonts w:ascii="Times New Roman" w:hAnsi="Times New Roman" w:cs="Times New Roman"/>
              <w:sz w:val="17"/>
              <w:szCs w:val="17"/>
              <w:lang w:val="es-ES"/>
            </w:rPr>
            <w:t xml:space="preserve"> (2012). Las expectativas sobre el futuro educativo </w:t>
          </w:r>
          <w:r>
            <w:rPr>
              <w:rFonts w:ascii="Times New Roman" w:hAnsi="Times New Roman" w:cs="Times New Roman"/>
              <w:sz w:val="17"/>
              <w:szCs w:val="17"/>
              <w:lang w:val="es-ES"/>
            </w:rPr>
            <w:t xml:space="preserve">y laboral de jóvenes de la escuela secundaria: entre lo posible y lo deseable. </w:t>
          </w:r>
          <w:proofErr w:type="spellStart"/>
          <w:r>
            <w:rPr>
              <w:rFonts w:ascii="Times New Roman" w:hAnsi="Times New Roman" w:cs="Times New Roman"/>
              <w:i/>
              <w:sz w:val="17"/>
              <w:szCs w:val="17"/>
              <w:lang w:val="es-ES"/>
            </w:rPr>
            <w:t>Ultima</w:t>
          </w:r>
          <w:proofErr w:type="spellEnd"/>
          <w:r>
            <w:rPr>
              <w:rFonts w:ascii="Times New Roman" w:hAnsi="Times New Roman" w:cs="Times New Roman"/>
              <w:i/>
              <w:sz w:val="17"/>
              <w:szCs w:val="17"/>
              <w:lang w:val="es-ES"/>
            </w:rPr>
            <w:t xml:space="preserve"> década, 20</w:t>
          </w:r>
          <w:r>
            <w:rPr>
              <w:rFonts w:ascii="Times New Roman" w:hAnsi="Times New Roman" w:cs="Times New Roman"/>
              <w:sz w:val="17"/>
              <w:szCs w:val="17"/>
              <w:lang w:val="es-ES"/>
            </w:rPr>
            <w:t xml:space="preserve">(6), 71-95. </w:t>
          </w:r>
          <w:hyperlink r:id="rId16" w:tooltip="http://dx.doi.org/10.4067/S0718-22362012000100004" w:history="1">
            <w:r>
              <w:rPr>
                <w:rStyle w:val="Hyperlink"/>
                <w:rFonts w:ascii="Times New Roman" w:hAnsi="Times New Roman" w:cs="Times New Roman"/>
                <w:sz w:val="17"/>
                <w:szCs w:val="17"/>
                <w:lang w:val="es-ES"/>
              </w:rPr>
              <w:t>http://dx.doi.org/10.4067/S</w:t>
            </w:r>
            <w:r>
              <w:rPr>
                <w:rStyle w:val="Hyperlink"/>
                <w:rFonts w:ascii="Times New Roman" w:hAnsi="Times New Roman" w:cs="Times New Roman"/>
                <w:sz w:val="17"/>
                <w:szCs w:val="17"/>
                <w:lang w:val="es-ES"/>
              </w:rPr>
              <w:t>0718-22362012000100004.</w:t>
            </w:r>
          </w:hyperlink>
        </w:p>
        <w:p w:rsidR="00BB1A0F" w:rsidRDefault="00364EA7">
          <w:pPr>
            <w:spacing w:after="0" w:line="240" w:lineRule="auto"/>
            <w:ind w:left="709" w:hanging="709"/>
            <w:jc w:val="both"/>
            <w:rPr>
              <w:rFonts w:ascii="Times New Roman" w:hAnsi="Times New Roman" w:cs="Times New Roman"/>
              <w:sz w:val="17"/>
              <w:szCs w:val="17"/>
              <w:lang w:val="es-ES"/>
            </w:rPr>
          </w:pPr>
          <w:proofErr w:type="spellStart"/>
          <w:r>
            <w:rPr>
              <w:rFonts w:ascii="Times New Roman" w:hAnsi="Times New Roman" w:cs="Times New Roman"/>
              <w:sz w:val="17"/>
              <w:szCs w:val="17"/>
              <w:lang w:val="es-ES"/>
            </w:rPr>
            <w:t>Dendasck</w:t>
          </w:r>
          <w:proofErr w:type="spellEnd"/>
          <w:r>
            <w:rPr>
              <w:rFonts w:ascii="Times New Roman" w:hAnsi="Times New Roman" w:cs="Times New Roman"/>
              <w:sz w:val="17"/>
              <w:szCs w:val="17"/>
              <w:lang w:val="es-ES"/>
            </w:rPr>
            <w:t xml:space="preserve">, C. V., </w:t>
          </w:r>
          <w:proofErr w:type="spellStart"/>
          <w:r>
            <w:rPr>
              <w:rFonts w:ascii="Times New Roman" w:hAnsi="Times New Roman" w:cs="Times New Roman"/>
              <w:sz w:val="17"/>
              <w:szCs w:val="17"/>
              <w:lang w:val="es-ES"/>
            </w:rPr>
            <w:t>Facco</w:t>
          </w:r>
          <w:proofErr w:type="spellEnd"/>
          <w:r>
            <w:rPr>
              <w:rFonts w:ascii="Times New Roman" w:hAnsi="Times New Roman" w:cs="Times New Roman"/>
              <w:sz w:val="17"/>
              <w:szCs w:val="17"/>
              <w:lang w:val="es-ES"/>
            </w:rPr>
            <w:t xml:space="preserve">, L., </w:t>
          </w:r>
          <w:proofErr w:type="spellStart"/>
          <w:r>
            <w:rPr>
              <w:rFonts w:ascii="Times New Roman" w:hAnsi="Times New Roman" w:cs="Times New Roman"/>
              <w:sz w:val="17"/>
              <w:szCs w:val="17"/>
              <w:lang w:val="es-ES"/>
            </w:rPr>
            <w:t>Fecury</w:t>
          </w:r>
          <w:proofErr w:type="spellEnd"/>
          <w:r>
            <w:rPr>
              <w:rFonts w:ascii="Times New Roman" w:hAnsi="Times New Roman" w:cs="Times New Roman"/>
              <w:sz w:val="17"/>
              <w:szCs w:val="17"/>
              <w:lang w:val="es-ES"/>
            </w:rPr>
            <w:t xml:space="preserve">, A. A. y Oliveira, E. (2020). Expectativas, percepciones y motivaciones de estudiantes de una Escuela Secundaria Pública del interior de São Paulo. </w:t>
          </w:r>
          <w:r>
            <w:rPr>
              <w:rFonts w:ascii="Times New Roman" w:hAnsi="Times New Roman" w:cs="Times New Roman"/>
              <w:i/>
              <w:sz w:val="17"/>
              <w:szCs w:val="17"/>
              <w:lang w:val="es-ES"/>
            </w:rPr>
            <w:t>Núcleo del conocimiento.</w:t>
          </w:r>
          <w:r>
            <w:rPr>
              <w:rFonts w:ascii="Times New Roman" w:hAnsi="Times New Roman" w:cs="Times New Roman"/>
              <w:sz w:val="17"/>
              <w:szCs w:val="17"/>
              <w:lang w:val="es-ES"/>
            </w:rPr>
            <w:t xml:space="preserve"> </w:t>
          </w:r>
          <w:r>
            <w:rPr>
              <w:rFonts w:ascii="Times New Roman" w:hAnsi="Times New Roman" w:cs="Times New Roman"/>
              <w:color w:val="4472C4" w:themeColor="accent1"/>
              <w:sz w:val="17"/>
              <w:szCs w:val="17"/>
              <w:u w:val="single"/>
              <w:lang w:val="es-ES"/>
            </w:rPr>
            <w:t>https://doi.org/</w:t>
          </w:r>
          <w:hyperlink r:id="rId17" w:tooltip="http://dx.doi.org/10.32749/nucleodoconhecimento.com.br/educacion-es/motivaciones-de-estudiantes" w:history="1">
            <w:r>
              <w:rPr>
                <w:rStyle w:val="Hyperlink"/>
                <w:rFonts w:ascii="Times New Roman" w:hAnsi="Times New Roman" w:cs="Times New Roman"/>
                <w:color w:val="4472C4" w:themeColor="accent1"/>
                <w:sz w:val="17"/>
                <w:szCs w:val="17"/>
                <w:lang w:val="es-ES"/>
              </w:rPr>
              <w:t>10.32749/nucleodoconhecimento.com.br/educacio</w:t>
            </w:r>
            <w:r>
              <w:rPr>
                <w:rStyle w:val="Hyperlink"/>
                <w:rFonts w:ascii="Times New Roman" w:hAnsi="Times New Roman" w:cs="Times New Roman"/>
                <w:color w:val="4472C4" w:themeColor="accent1"/>
                <w:sz w:val="17"/>
                <w:szCs w:val="17"/>
                <w:lang w:val="es-ES"/>
              </w:rPr>
              <w:t>n-</w:t>
            </w:r>
          </w:hyperlink>
          <w:r>
            <w:rPr>
              <w:rFonts w:ascii="Times New Roman" w:hAnsi="Times New Roman" w:cs="Times New Roman"/>
              <w:sz w:val="17"/>
              <w:szCs w:val="17"/>
              <w:lang w:val="es-ES"/>
            </w:rPr>
            <w:t xml:space="preserve"> </w:t>
          </w:r>
          <w:hyperlink r:id="rId18" w:tooltip="http://dx.doi.org/10.32749/nucleodoconhecimento.com.br/educacion-es/motivaciones-de-estudiantes" w:history="1">
            <w:r>
              <w:rPr>
                <w:rStyle w:val="Hyperlink"/>
                <w:rFonts w:ascii="Times New Roman" w:hAnsi="Times New Roman" w:cs="Times New Roman"/>
                <w:sz w:val="17"/>
                <w:szCs w:val="17"/>
                <w:lang w:val="es-ES"/>
              </w:rPr>
              <w:t>es/motivaciones-de-estudiantes</w:t>
            </w:r>
          </w:hyperlink>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Guerrero,</w:t>
          </w:r>
          <w:r>
            <w:rPr>
              <w:rFonts w:ascii="Times New Roman" w:hAnsi="Times New Roman" w:cs="Times New Roman"/>
              <w:sz w:val="17"/>
              <w:szCs w:val="17"/>
              <w:lang w:val="es-ES"/>
            </w:rPr>
            <w:t xml:space="preserve"> G. (2018). Documento de investigación, educación y aprendizaje. GRADE (Grupo de Análisis para el Desarrollo). </w:t>
          </w:r>
        </w:p>
        <w:p w:rsidR="00BB1A0F" w:rsidRDefault="00364EA7">
          <w:pPr>
            <w:spacing w:after="0" w:line="240" w:lineRule="auto"/>
            <w:ind w:left="709" w:hanging="709"/>
            <w:jc w:val="both"/>
            <w:rPr>
              <w:rFonts w:ascii="Times New Roman" w:hAnsi="Times New Roman" w:cs="Times New Roman"/>
              <w:color w:val="4472C4" w:themeColor="accent1"/>
              <w:sz w:val="17"/>
              <w:szCs w:val="17"/>
              <w:u w:val="single"/>
              <w:lang w:val="es-ES"/>
            </w:rPr>
          </w:pPr>
          <w:r>
            <w:rPr>
              <w:rFonts w:ascii="Times New Roman" w:hAnsi="Times New Roman" w:cs="Times New Roman"/>
              <w:sz w:val="17"/>
              <w:szCs w:val="17"/>
              <w:lang w:val="es-ES"/>
            </w:rPr>
            <w:t xml:space="preserve">León, J. y </w:t>
          </w:r>
          <w:proofErr w:type="spellStart"/>
          <w:r>
            <w:rPr>
              <w:rFonts w:ascii="Times New Roman" w:hAnsi="Times New Roman" w:cs="Times New Roman"/>
              <w:sz w:val="17"/>
              <w:szCs w:val="17"/>
              <w:lang w:val="es-ES"/>
            </w:rPr>
            <w:t>Sugimaru</w:t>
          </w:r>
          <w:proofErr w:type="spellEnd"/>
          <w:r>
            <w:rPr>
              <w:rFonts w:ascii="Times New Roman" w:hAnsi="Times New Roman" w:cs="Times New Roman"/>
              <w:sz w:val="17"/>
              <w:szCs w:val="17"/>
              <w:lang w:val="es-ES"/>
            </w:rPr>
            <w:t>, C. (2017). Las expectativas educativas de los estudiantes de secundaria de regiones amazónicas: un análisis de los factores</w:t>
          </w:r>
          <w:r>
            <w:rPr>
              <w:rFonts w:ascii="Times New Roman" w:hAnsi="Times New Roman" w:cs="Times New Roman"/>
              <w:sz w:val="17"/>
              <w:szCs w:val="17"/>
              <w:lang w:val="es-ES"/>
            </w:rPr>
            <w:t xml:space="preserve"> asociados desde el enfoque de eficacia escolar. </w:t>
          </w:r>
          <w:r>
            <w:rPr>
              <w:rFonts w:ascii="Times New Roman" w:hAnsi="Times New Roman" w:cs="Times New Roman"/>
              <w:i/>
              <w:sz w:val="17"/>
              <w:szCs w:val="17"/>
              <w:lang w:val="es-ES"/>
            </w:rPr>
            <w:t>Documentos de Investigación, 85</w:t>
          </w:r>
          <w:r>
            <w:rPr>
              <w:rFonts w:ascii="Times New Roman" w:hAnsi="Times New Roman" w:cs="Times New Roman"/>
              <w:sz w:val="17"/>
              <w:szCs w:val="17"/>
              <w:lang w:val="es-ES"/>
            </w:rPr>
            <w:t xml:space="preserve">. </w:t>
          </w:r>
          <w:hyperlink r:id="rId19" w:tooltip="https://www.grade.org.pe/en/publicaciones/las-expectativas-educativas-de-los-estudiantes-de-secundaria-de-regiones-amazonicas-un-analisis-de-los-factores-asociados-desde-el-enfoque-de-eficacia-escolar/" w:history="1">
            <w:r>
              <w:rPr>
                <w:rStyle w:val="Hyperlink"/>
                <w:rFonts w:ascii="Times New Roman" w:hAnsi="Times New Roman" w:cs="Times New Roman"/>
                <w:color w:val="4472C4" w:themeColor="accent1"/>
                <w:sz w:val="17"/>
                <w:szCs w:val="17"/>
                <w:lang w:val="es-ES"/>
              </w:rPr>
              <w:t>https</w:t>
            </w:r>
            <w:r>
              <w:rPr>
                <w:rStyle w:val="Hyperlink"/>
                <w:rFonts w:ascii="Times New Roman" w:hAnsi="Times New Roman" w:cs="Times New Roman"/>
                <w:color w:val="4472C4" w:themeColor="accent1"/>
                <w:sz w:val="17"/>
                <w:szCs w:val="17"/>
                <w:lang w:val="es-ES"/>
              </w:rPr>
              <w:t>://www.grade.org.pe/en/publicaciones/las-expectativas-educativas-de-los-estudiantes-de-secundaria-de-regiones-amazonicas-un-analisis-de-los-factores-asociados-desde-el-enfoque-de-eficacia-escolar/</w:t>
            </w:r>
          </w:hyperlink>
        </w:p>
        <w:p w:rsidR="00BB1A0F" w:rsidRDefault="00364EA7">
          <w:pPr>
            <w:spacing w:after="0" w:line="240" w:lineRule="auto"/>
            <w:jc w:val="both"/>
            <w:rPr>
              <w:rFonts w:ascii="Times New Roman" w:hAnsi="Times New Roman" w:cs="Times New Roman"/>
              <w:sz w:val="17"/>
              <w:szCs w:val="17"/>
              <w:lang w:val="es-ES"/>
            </w:rPr>
          </w:pPr>
          <w:r>
            <w:rPr>
              <w:rFonts w:ascii="Times New Roman" w:hAnsi="Times New Roman" w:cs="Times New Roman"/>
              <w:sz w:val="17"/>
              <w:szCs w:val="17"/>
              <w:lang w:val="es-ES"/>
            </w:rPr>
            <w:t xml:space="preserve">Martínez, J. (2011). </w:t>
          </w:r>
          <w:r>
            <w:rPr>
              <w:rFonts w:ascii="Times New Roman" w:hAnsi="Times New Roman" w:cs="Times New Roman"/>
              <w:i/>
              <w:sz w:val="17"/>
              <w:szCs w:val="17"/>
              <w:lang w:val="es-ES"/>
            </w:rPr>
            <w:t xml:space="preserve">Métodos de investigación cualitativa. </w:t>
          </w:r>
          <w:r>
            <w:rPr>
              <w:rFonts w:ascii="Times New Roman" w:hAnsi="Times New Roman" w:cs="Times New Roman"/>
              <w:i/>
              <w:sz w:val="17"/>
              <w:szCs w:val="17"/>
              <w:lang w:val="es-ES"/>
            </w:rPr>
            <w:t>Silogismo</w:t>
          </w:r>
          <w:r>
            <w:rPr>
              <w:rFonts w:ascii="Times New Roman" w:hAnsi="Times New Roman" w:cs="Times New Roman"/>
              <w:sz w:val="17"/>
              <w:szCs w:val="17"/>
              <w:lang w:val="es-ES"/>
            </w:rPr>
            <w:t xml:space="preserve">, </w:t>
          </w:r>
          <w:r>
            <w:rPr>
              <w:rFonts w:ascii="Times New Roman" w:hAnsi="Times New Roman" w:cs="Times New Roman"/>
              <w:i/>
              <w:sz w:val="17"/>
              <w:szCs w:val="17"/>
              <w:lang w:val="es-ES"/>
            </w:rPr>
            <w:t>8</w:t>
          </w:r>
          <w:r>
            <w:rPr>
              <w:rFonts w:ascii="Times New Roman" w:hAnsi="Times New Roman" w:cs="Times New Roman"/>
              <w:sz w:val="17"/>
              <w:szCs w:val="17"/>
              <w:lang w:val="es-ES"/>
            </w:rPr>
            <w:t xml:space="preserve">, 1-33. </w:t>
          </w:r>
        </w:p>
        <w:p w:rsidR="00BB1A0F" w:rsidRDefault="00364EA7">
          <w:pPr>
            <w:spacing w:after="0" w:line="240" w:lineRule="auto"/>
            <w:ind w:firstLine="708"/>
            <w:jc w:val="both"/>
            <w:rPr>
              <w:rFonts w:ascii="Times New Roman" w:hAnsi="Times New Roman" w:cs="Times New Roman"/>
              <w:sz w:val="17"/>
              <w:szCs w:val="17"/>
              <w:lang w:val="es-ES"/>
            </w:rPr>
          </w:pPr>
          <w:hyperlink r:id="rId20" w:tooltip="https://www.scirp.org/(S(vtj3fa45qm1ean45vvffcz55))/reference/ReferencesPapers.aspx?ReferenceID=1950187" w:history="1">
            <w:r>
              <w:rPr>
                <w:rStyle w:val="Hyperlink"/>
                <w:rFonts w:ascii="Times New Roman" w:hAnsi="Times New Roman" w:cs="Times New Roman"/>
                <w:sz w:val="17"/>
                <w:szCs w:val="17"/>
                <w:lang w:val="es-ES"/>
              </w:rPr>
              <w:t>https:</w:t>
            </w:r>
            <w:r>
              <w:rPr>
                <w:rStyle w:val="Hyperlink"/>
                <w:rFonts w:ascii="Times New Roman" w:hAnsi="Times New Roman" w:cs="Times New Roman"/>
                <w:sz w:val="17"/>
                <w:szCs w:val="17"/>
                <w:lang w:val="es-ES"/>
              </w:rPr>
              <w:t>//www.scirp.org/(S(vtj3fa45qm1ean45vvffcz55))/reference/ReferencesPapers</w:t>
            </w:r>
          </w:hyperlink>
          <w:hyperlink r:id="rId21" w:tooltip="https://www.scirp.org/(S(vtj3fa45qm1ean45vvffcz55))/reference/ReferencesPapers.aspx?ReferenceID=1950187" w:history="1">
            <w:r>
              <w:rPr>
                <w:rStyle w:val="Hyperlink"/>
                <w:rFonts w:ascii="Times New Roman" w:hAnsi="Times New Roman" w:cs="Times New Roman"/>
                <w:sz w:val="17"/>
                <w:szCs w:val="17"/>
                <w:lang w:val="es-ES"/>
              </w:rPr>
              <w:t>.aspx</w:t>
            </w:r>
            <w:proofErr w:type="gramStart"/>
            <w:r>
              <w:rPr>
                <w:rStyle w:val="Hyperlink"/>
                <w:rFonts w:ascii="Times New Roman" w:hAnsi="Times New Roman" w:cs="Times New Roman"/>
                <w:sz w:val="17"/>
                <w:szCs w:val="17"/>
                <w:lang w:val="es-ES"/>
              </w:rPr>
              <w:t>?ReferenceID</w:t>
            </w:r>
            <w:proofErr w:type="gramEnd"/>
            <w:r>
              <w:rPr>
                <w:rStyle w:val="Hyperlink"/>
                <w:rFonts w:ascii="Times New Roman" w:hAnsi="Times New Roman" w:cs="Times New Roman"/>
                <w:sz w:val="17"/>
                <w:szCs w:val="17"/>
                <w:lang w:val="es-ES"/>
              </w:rPr>
              <w:t>=1950187</w:t>
            </w:r>
          </w:hyperlink>
        </w:p>
        <w:p w:rsidR="00BB1A0F" w:rsidRDefault="00364EA7">
          <w:pPr>
            <w:spacing w:after="0" w:line="240" w:lineRule="auto"/>
            <w:ind w:left="709" w:hanging="709"/>
            <w:jc w:val="both"/>
            <w:rPr>
              <w:rFonts w:ascii="Times New Roman" w:hAnsi="Times New Roman" w:cs="Times New Roman"/>
              <w:sz w:val="17"/>
              <w:szCs w:val="17"/>
              <w:lang w:val="es-ES"/>
            </w:rPr>
          </w:pPr>
          <w:proofErr w:type="spellStart"/>
          <w:r>
            <w:rPr>
              <w:rFonts w:ascii="Times New Roman" w:hAnsi="Times New Roman" w:cs="Times New Roman"/>
              <w:sz w:val="17"/>
              <w:szCs w:val="17"/>
              <w:lang w:val="es-ES"/>
            </w:rPr>
            <w:t>Meriño</w:t>
          </w:r>
          <w:proofErr w:type="spellEnd"/>
          <w:r>
            <w:rPr>
              <w:rFonts w:ascii="Times New Roman" w:hAnsi="Times New Roman" w:cs="Times New Roman"/>
              <w:sz w:val="17"/>
              <w:szCs w:val="17"/>
              <w:lang w:val="es-ES"/>
            </w:rPr>
            <w:t xml:space="preserve">, I. (2021). </w:t>
          </w:r>
          <w:proofErr w:type="spellStart"/>
          <w:r>
            <w:rPr>
              <w:rFonts w:ascii="Times New Roman" w:hAnsi="Times New Roman" w:cs="Times New Roman"/>
              <w:sz w:val="17"/>
              <w:szCs w:val="17"/>
              <w:lang w:val="es-ES"/>
            </w:rPr>
            <w:t>Repitencia</w:t>
          </w:r>
          <w:proofErr w:type="spellEnd"/>
          <w:r>
            <w:rPr>
              <w:rFonts w:ascii="Times New Roman" w:hAnsi="Times New Roman" w:cs="Times New Roman"/>
              <w:sz w:val="17"/>
              <w:szCs w:val="17"/>
              <w:lang w:val="es-ES"/>
            </w:rPr>
            <w:t xml:space="preserve"> escolar: análisis y reflexiones en un establecimiento educacional en la comuna de Valparaíso, Chile. </w:t>
          </w:r>
          <w:r>
            <w:rPr>
              <w:rFonts w:ascii="Times New Roman" w:hAnsi="Times New Roman" w:cs="Times New Roman"/>
              <w:i/>
              <w:sz w:val="17"/>
              <w:szCs w:val="17"/>
              <w:lang w:val="es-ES"/>
            </w:rPr>
            <w:t>Revista Innova Educación</w:t>
          </w:r>
          <w:r>
            <w:rPr>
              <w:rFonts w:ascii="Times New Roman" w:hAnsi="Times New Roman" w:cs="Times New Roman"/>
              <w:sz w:val="17"/>
              <w:szCs w:val="17"/>
              <w:lang w:val="es-ES"/>
            </w:rPr>
            <w:t xml:space="preserve">, </w:t>
          </w:r>
          <w:r>
            <w:rPr>
              <w:rFonts w:ascii="Times New Roman" w:hAnsi="Times New Roman" w:cs="Times New Roman"/>
              <w:i/>
              <w:sz w:val="17"/>
              <w:szCs w:val="17"/>
              <w:lang w:val="es-ES"/>
            </w:rPr>
            <w:t>3</w:t>
          </w:r>
          <w:r>
            <w:rPr>
              <w:rFonts w:ascii="Times New Roman" w:hAnsi="Times New Roman" w:cs="Times New Roman"/>
              <w:sz w:val="17"/>
              <w:szCs w:val="17"/>
              <w:lang w:val="es-ES"/>
            </w:rPr>
            <w:t xml:space="preserve">(1), 20-38. </w:t>
          </w:r>
          <w:r>
            <w:rPr>
              <w:rFonts w:ascii="Times New Roman" w:hAnsi="Times New Roman" w:cs="Times New Roman"/>
              <w:color w:val="4472C4" w:themeColor="accent1"/>
              <w:sz w:val="17"/>
              <w:szCs w:val="17"/>
              <w:u w:val="single"/>
              <w:lang w:val="es-ES"/>
            </w:rPr>
            <w:t>https://revista</w:t>
          </w:r>
          <w:r>
            <w:rPr>
              <w:rFonts w:ascii="Times New Roman" w:hAnsi="Times New Roman" w:cs="Times New Roman"/>
              <w:color w:val="4472C4" w:themeColor="accent1"/>
              <w:sz w:val="17"/>
              <w:szCs w:val="17"/>
              <w:u w:val="single"/>
              <w:lang w:val="es-ES"/>
            </w:rPr>
            <w:t>innovaeducacion.com/index.php/rie/article/view/188</w:t>
          </w:r>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 xml:space="preserve">Mero, R. B. (2023). La motivación docente en el proceso de enseñanza-aprendizaje. </w:t>
          </w:r>
          <w:r>
            <w:rPr>
              <w:rFonts w:ascii="Times New Roman" w:hAnsi="Times New Roman" w:cs="Times New Roman"/>
              <w:i/>
              <w:sz w:val="17"/>
              <w:szCs w:val="17"/>
              <w:lang w:val="es-ES"/>
            </w:rPr>
            <w:t>Revista Científica Arbitrada Multidisciplinaria PENTACIENCIAS</w:t>
          </w:r>
          <w:r>
            <w:rPr>
              <w:rFonts w:ascii="Times New Roman" w:hAnsi="Times New Roman" w:cs="Times New Roman"/>
              <w:sz w:val="17"/>
              <w:szCs w:val="17"/>
              <w:lang w:val="es-ES"/>
            </w:rPr>
            <w:t xml:space="preserve">, </w:t>
          </w:r>
          <w:r>
            <w:rPr>
              <w:rFonts w:ascii="Times New Roman" w:hAnsi="Times New Roman" w:cs="Times New Roman"/>
              <w:i/>
              <w:sz w:val="17"/>
              <w:szCs w:val="17"/>
              <w:lang w:val="es-ES"/>
            </w:rPr>
            <w:t>5</w:t>
          </w:r>
          <w:r>
            <w:rPr>
              <w:rFonts w:ascii="Times New Roman" w:hAnsi="Times New Roman" w:cs="Times New Roman"/>
              <w:sz w:val="17"/>
              <w:szCs w:val="17"/>
              <w:lang w:val="es-ES"/>
            </w:rPr>
            <w:t xml:space="preserve">(6), 357–368. </w:t>
          </w:r>
          <w:hyperlink r:id="rId22" w:tooltip="https://doi.org/10.59169/pentaciencias.v5i6.861" w:history="1">
            <w:r>
              <w:rPr>
                <w:rStyle w:val="Hyperlink"/>
                <w:rFonts w:ascii="Times New Roman" w:hAnsi="Times New Roman" w:cs="Times New Roman"/>
                <w:sz w:val="17"/>
                <w:szCs w:val="17"/>
                <w:lang w:val="es-ES"/>
              </w:rPr>
              <w:t>https://doi.org/10.59169/pentaciencias.v5i6.861</w:t>
            </w:r>
          </w:hyperlink>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Ministerio de Educación</w:t>
          </w:r>
          <w:r>
            <w:rPr>
              <w:rFonts w:ascii="Times New Roman" w:hAnsi="Times New Roman" w:cs="Times New Roman"/>
              <w:sz w:val="17"/>
              <w:szCs w:val="17"/>
              <w:lang w:val="es-VE"/>
            </w:rPr>
            <w:t xml:space="preserve"> de Perú</w:t>
          </w:r>
          <w:r>
            <w:rPr>
              <w:rFonts w:ascii="Times New Roman" w:hAnsi="Times New Roman" w:cs="Times New Roman"/>
              <w:sz w:val="17"/>
              <w:szCs w:val="17"/>
              <w:lang w:val="es-ES"/>
            </w:rPr>
            <w:t xml:space="preserve">. (2024). </w:t>
          </w:r>
          <w:proofErr w:type="spellStart"/>
          <w:r>
            <w:rPr>
              <w:rFonts w:ascii="Times New Roman" w:hAnsi="Times New Roman" w:cs="Times New Roman"/>
              <w:i/>
              <w:sz w:val="17"/>
              <w:szCs w:val="17"/>
              <w:lang w:val="es-ES"/>
            </w:rPr>
            <w:t>Kid</w:t>
          </w:r>
          <w:proofErr w:type="spellEnd"/>
          <w:r>
            <w:rPr>
              <w:rFonts w:ascii="Times New Roman" w:hAnsi="Times New Roman" w:cs="Times New Roman"/>
              <w:i/>
              <w:sz w:val="17"/>
              <w:szCs w:val="17"/>
              <w:lang w:val="es-ES"/>
            </w:rPr>
            <w:t xml:space="preserve"> de bienestar socioemocional</w:t>
          </w:r>
          <w:r>
            <w:rPr>
              <w:rFonts w:ascii="Times New Roman" w:hAnsi="Times New Roman" w:cs="Times New Roman"/>
              <w:sz w:val="17"/>
              <w:szCs w:val="17"/>
              <w:lang w:val="es-ES"/>
            </w:rPr>
            <w:t xml:space="preserve">. Gob.pe. </w:t>
          </w:r>
          <w:hyperlink r:id="rId23" w:tooltip="https://www.gob.pe/institucion/minedu/colecciones/10097" w:history="1">
            <w:r>
              <w:rPr>
                <w:rStyle w:val="Hyperlink"/>
                <w:rFonts w:ascii="Times New Roman" w:hAnsi="Times New Roman" w:cs="Times New Roman"/>
                <w:sz w:val="17"/>
                <w:szCs w:val="17"/>
                <w:lang w:val="es-ES"/>
              </w:rPr>
              <w:t>https://www.gob.pe/institucion/minedu/colecciones/10097</w:t>
            </w:r>
            <w:r>
              <w:rPr>
                <w:rStyle w:val="Hyperlink"/>
                <w:rFonts w:ascii="Times New Roman" w:hAnsi="Times New Roman" w:cs="Times New Roman"/>
                <w:sz w:val="17"/>
                <w:szCs w:val="17"/>
                <w:lang w:val="es-VE"/>
              </w:rPr>
              <w:t xml:space="preserve"> </w:t>
            </w:r>
          </w:hyperlink>
        </w:p>
        <w:p w:rsidR="00BB1A0F" w:rsidRDefault="00364EA7">
          <w:pPr>
            <w:spacing w:after="0" w:line="240" w:lineRule="auto"/>
            <w:ind w:left="709" w:hanging="709"/>
            <w:jc w:val="both"/>
            <w:rPr>
              <w:rFonts w:ascii="Times New Roman" w:hAnsi="Times New Roman" w:cs="Times New Roman"/>
              <w:sz w:val="17"/>
              <w:szCs w:val="17"/>
              <w:lang w:val="pt-BR"/>
            </w:rPr>
          </w:pPr>
          <w:r>
            <w:rPr>
              <w:rFonts w:ascii="Times New Roman" w:hAnsi="Times New Roman" w:cs="Times New Roman"/>
              <w:sz w:val="17"/>
              <w:szCs w:val="17"/>
              <w:lang w:val="pt-BR"/>
            </w:rPr>
            <w:t xml:space="preserve">Ministerio de Educación de Perú (2022) </w:t>
          </w:r>
          <w:r>
            <w:rPr>
              <w:rFonts w:ascii="Times New Roman" w:hAnsi="Times New Roman" w:cs="Times New Roman"/>
              <w:color w:val="4472C4" w:themeColor="accent1"/>
              <w:sz w:val="17"/>
              <w:szCs w:val="17"/>
              <w:u w:val="single"/>
              <w:lang w:val="pt-BR"/>
            </w:rPr>
            <w:t>https://www.limacomovamos.org/cm/wp-co</w:t>
          </w:r>
          <w:r>
            <w:rPr>
              <w:rFonts w:ascii="Times New Roman" w:hAnsi="Times New Roman" w:cs="Times New Roman"/>
              <w:color w:val="4472C4" w:themeColor="accent1"/>
              <w:sz w:val="17"/>
              <w:szCs w:val="17"/>
              <w:u w:val="single"/>
              <w:lang w:val="pt-BR"/>
            </w:rPr>
            <w:t>ntent/uploads/2013/10/educacion.pdf</w:t>
          </w:r>
        </w:p>
        <w:p w:rsidR="00BB1A0F" w:rsidRDefault="00364EA7">
          <w:pPr>
            <w:spacing w:after="0" w:line="240" w:lineRule="auto"/>
            <w:jc w:val="both"/>
            <w:rPr>
              <w:rFonts w:ascii="Times New Roman" w:hAnsi="Times New Roman" w:cs="Times New Roman"/>
              <w:color w:val="4472C4" w:themeColor="accent1"/>
              <w:sz w:val="17"/>
              <w:szCs w:val="17"/>
              <w:u w:val="single"/>
              <w:lang w:val="es-ES"/>
            </w:rPr>
          </w:pPr>
          <w:r>
            <w:rPr>
              <w:rFonts w:ascii="Times New Roman" w:hAnsi="Times New Roman" w:cs="Times New Roman"/>
              <w:sz w:val="17"/>
              <w:szCs w:val="17"/>
              <w:lang w:val="es-ES"/>
            </w:rPr>
            <w:t xml:space="preserve">Pérez, F., Figueroa, E., Montoya, E., Jiménez, M., Tavera, M. (2021). </w:t>
          </w:r>
          <w:r>
            <w:rPr>
              <w:rFonts w:ascii="Times New Roman" w:hAnsi="Times New Roman" w:cs="Times New Roman"/>
              <w:i/>
              <w:sz w:val="17"/>
              <w:szCs w:val="17"/>
              <w:lang w:val="es-ES"/>
            </w:rPr>
            <w:t>La educación como factor de impacto en el desarrollo nacional.</w:t>
          </w:r>
          <w:r>
            <w:rPr>
              <w:rFonts w:ascii="Times New Roman" w:hAnsi="Times New Roman" w:cs="Times New Roman"/>
              <w:sz w:val="17"/>
              <w:szCs w:val="17"/>
              <w:lang w:val="es-ES"/>
            </w:rPr>
            <w:t xml:space="preserve"> Asociación </w:t>
          </w:r>
          <w:r>
            <w:rPr>
              <w:rFonts w:ascii="Times New Roman" w:hAnsi="Times New Roman" w:cs="Times New Roman"/>
              <w:sz w:val="17"/>
              <w:szCs w:val="17"/>
              <w:lang w:val="es-ES"/>
            </w:rPr>
            <w:tab/>
            <w:t xml:space="preserve">Mexicana de Investigación Interdisciplinaria A.C. </w:t>
          </w:r>
          <w:hyperlink r:id="rId24" w:tooltip="http://ri.uaemex.mx/bitstream/handle/20.500.11799/111529/Cap%C3%ADtulo-" w:history="1">
            <w:r>
              <w:rPr>
                <w:rStyle w:val="Hyperlink"/>
                <w:rFonts w:ascii="Times New Roman" w:hAnsi="Times New Roman" w:cs="Times New Roman"/>
                <w:color w:val="4472C4" w:themeColor="accent1"/>
                <w:sz w:val="17"/>
                <w:szCs w:val="17"/>
                <w:lang w:val="es-ES"/>
              </w:rPr>
              <w:t>http://ri.uaemex.mx/bitstream/handle/20.500.11799/111529/Cap%C3%ADtulo-</w:t>
            </w:r>
          </w:hyperlink>
          <w:r>
            <w:rPr>
              <w:rFonts w:ascii="Times New Roman" w:hAnsi="Times New Roman" w:cs="Times New Roman"/>
              <w:color w:val="4472C4" w:themeColor="accent1"/>
              <w:sz w:val="17"/>
              <w:szCs w:val="17"/>
              <w:lang w:val="es-ES"/>
            </w:rPr>
            <w:tab/>
          </w:r>
          <w:r>
            <w:rPr>
              <w:rFonts w:ascii="Times New Roman" w:hAnsi="Times New Roman" w:cs="Times New Roman"/>
              <w:color w:val="4472C4" w:themeColor="accent1"/>
              <w:sz w:val="17"/>
              <w:szCs w:val="17"/>
              <w:u w:val="single"/>
              <w:lang w:val="es-ES"/>
            </w:rPr>
            <w:t>evaluaci%C3%B3n-ar%C3%A1ndano-21.pdf?sequence=1</w:t>
          </w:r>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 xml:space="preserve">Pérez, J. (2015). Expectativas, satisfacción y rendimiento académico en alumnado universitario. </w:t>
          </w:r>
          <w:r>
            <w:rPr>
              <w:rFonts w:ascii="Times New Roman" w:hAnsi="Times New Roman" w:cs="Times New Roman"/>
              <w:i/>
              <w:sz w:val="17"/>
              <w:szCs w:val="17"/>
              <w:lang w:val="es-ES"/>
            </w:rPr>
            <w:t>Revista de Psicología y Educación, 10</w:t>
          </w:r>
          <w:r>
            <w:rPr>
              <w:rFonts w:ascii="Times New Roman" w:hAnsi="Times New Roman" w:cs="Times New Roman"/>
              <w:sz w:val="17"/>
              <w:szCs w:val="17"/>
              <w:lang w:val="es-ES"/>
            </w:rPr>
            <w:t xml:space="preserve">(1), 11-32. </w:t>
          </w:r>
          <w:r>
            <w:rPr>
              <w:rFonts w:ascii="Times New Roman" w:hAnsi="Times New Roman" w:cs="Times New Roman"/>
              <w:color w:val="4472C4" w:themeColor="accent1"/>
              <w:sz w:val="17"/>
              <w:szCs w:val="17"/>
              <w:u w:val="single"/>
              <w:lang w:val="es-ES"/>
            </w:rPr>
            <w:t>https://www.revistadepsicologiayeducacion.es/pdf/115.pdf</w:t>
          </w:r>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Pizarr</w:t>
          </w:r>
          <w:r>
            <w:rPr>
              <w:rFonts w:ascii="Times New Roman" w:hAnsi="Times New Roman" w:cs="Times New Roman"/>
              <w:sz w:val="17"/>
              <w:szCs w:val="17"/>
              <w:lang w:val="es-ES"/>
            </w:rPr>
            <w:t xml:space="preserve">o, P., Santana, A. y Vial, B. (2013). La participación de la familia y su vinculación en los procesos de aprendizaje de los niños y niñas en contextos escolares. </w:t>
          </w:r>
          <w:r>
            <w:rPr>
              <w:rFonts w:ascii="Times New Roman" w:hAnsi="Times New Roman" w:cs="Times New Roman"/>
              <w:i/>
              <w:sz w:val="17"/>
              <w:szCs w:val="17"/>
              <w:lang w:val="es-ES"/>
            </w:rPr>
            <w:t>Revista Diversitas- Perspectivas en Psicología, 9</w:t>
          </w:r>
          <w:r>
            <w:rPr>
              <w:rFonts w:ascii="Times New Roman" w:hAnsi="Times New Roman" w:cs="Times New Roman"/>
              <w:sz w:val="17"/>
              <w:szCs w:val="17"/>
              <w:lang w:val="es-ES"/>
            </w:rPr>
            <w:t xml:space="preserve">(2). </w:t>
          </w:r>
          <w:hyperlink r:id="rId25" w:tooltip="https://www.redalyc.org/pdf/679/67932397003.pdf" w:history="1">
            <w:r>
              <w:rPr>
                <w:rStyle w:val="Hyperlink"/>
                <w:rFonts w:ascii="Times New Roman" w:hAnsi="Times New Roman" w:cs="Times New Roman"/>
                <w:sz w:val="17"/>
                <w:szCs w:val="17"/>
                <w:lang w:val="es-ES"/>
              </w:rPr>
              <w:t>https://www.redalyc.org/pdf/679/67932397003.pdf</w:t>
            </w:r>
          </w:hyperlink>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Romero, A., Gaeta, M. y Martínez, V. (2021). Expectativas e intención de continuar estudiando en jóvenes con trayectos discontinuos</w:t>
          </w:r>
          <w:r>
            <w:rPr>
              <w:rFonts w:ascii="Times New Roman" w:hAnsi="Times New Roman" w:cs="Times New Roman"/>
              <w:sz w:val="17"/>
              <w:szCs w:val="17"/>
              <w:lang w:val="es-ES"/>
            </w:rPr>
            <w:t xml:space="preserve"> de educación media superior. </w:t>
          </w:r>
          <w:r>
            <w:rPr>
              <w:rFonts w:ascii="Times New Roman" w:hAnsi="Times New Roman" w:cs="Times New Roman"/>
              <w:i/>
              <w:sz w:val="17"/>
              <w:szCs w:val="17"/>
              <w:lang w:val="es-ES"/>
            </w:rPr>
            <w:t>Revista Panamericana de Pedagogía, 32</w:t>
          </w:r>
          <w:r>
            <w:rPr>
              <w:rFonts w:ascii="Times New Roman" w:hAnsi="Times New Roman" w:cs="Times New Roman"/>
              <w:sz w:val="17"/>
              <w:szCs w:val="17"/>
              <w:lang w:val="es-ES"/>
            </w:rPr>
            <w:t xml:space="preserve">(1), 150-167. </w:t>
          </w:r>
          <w:r>
            <w:rPr>
              <w:rFonts w:ascii="Times New Roman" w:hAnsi="Times New Roman" w:cs="Times New Roman"/>
              <w:color w:val="4472C4" w:themeColor="accent1"/>
              <w:sz w:val="17"/>
              <w:szCs w:val="17"/>
              <w:u w:val="single"/>
              <w:lang w:val="es-ES"/>
            </w:rPr>
            <w:t>https://revistas.up.edu.mx/RPP/article/view/2268</w:t>
          </w:r>
        </w:p>
        <w:p w:rsidR="00BB1A0F" w:rsidRDefault="00364EA7">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 xml:space="preserve">Torres, J., Acevedo, D. y Gallo, L. (2015). Causas y consecuencias de la deserción y </w:t>
          </w:r>
          <w:proofErr w:type="spellStart"/>
          <w:r>
            <w:rPr>
              <w:rFonts w:ascii="Times New Roman" w:hAnsi="Times New Roman" w:cs="Times New Roman"/>
              <w:sz w:val="17"/>
              <w:szCs w:val="17"/>
              <w:lang w:val="es-ES"/>
            </w:rPr>
            <w:t>repitencia</w:t>
          </w:r>
          <w:proofErr w:type="spellEnd"/>
          <w:r>
            <w:rPr>
              <w:rFonts w:ascii="Times New Roman" w:hAnsi="Times New Roman" w:cs="Times New Roman"/>
              <w:sz w:val="17"/>
              <w:szCs w:val="17"/>
              <w:lang w:val="es-ES"/>
            </w:rPr>
            <w:t xml:space="preserve"> escolar: una visión general en el contexto Latinoamericano. </w:t>
          </w:r>
          <w:r>
            <w:rPr>
              <w:rFonts w:ascii="Times New Roman" w:hAnsi="Times New Roman" w:cs="Times New Roman"/>
              <w:i/>
              <w:sz w:val="17"/>
              <w:szCs w:val="17"/>
              <w:lang w:val="es-ES"/>
            </w:rPr>
            <w:t>Cultura Educación y Sociedad, 6</w:t>
          </w:r>
          <w:r>
            <w:rPr>
              <w:rFonts w:ascii="Times New Roman" w:hAnsi="Times New Roman" w:cs="Times New Roman"/>
              <w:sz w:val="17"/>
              <w:szCs w:val="17"/>
              <w:lang w:val="es-ES"/>
            </w:rPr>
            <w:t>(2), 157-187.</w:t>
          </w:r>
          <w:r>
            <w:rPr>
              <w:sz w:val="17"/>
              <w:szCs w:val="17"/>
            </w:rPr>
            <w:t xml:space="preserve"> </w:t>
          </w:r>
          <w:r>
            <w:rPr>
              <w:rFonts w:ascii="Times New Roman" w:hAnsi="Times New Roman" w:cs="Times New Roman"/>
              <w:color w:val="4472C4" w:themeColor="accent1"/>
              <w:sz w:val="17"/>
              <w:szCs w:val="17"/>
              <w:u w:val="single"/>
              <w:lang w:val="es-ES"/>
            </w:rPr>
            <w:t>https://r.search.yahoo.com/_ylt=AwrFG1gtoXxnSwIAxLOrcgx</w:t>
          </w:r>
          <w:r>
            <w:rPr>
              <w:rFonts w:ascii="Times New Roman" w:hAnsi="Times New Roman" w:cs="Times New Roman"/>
              <w:color w:val="4472C4" w:themeColor="accent1"/>
              <w:sz w:val="17"/>
              <w:szCs w:val="17"/>
              <w:u w:val="single"/>
              <w:lang w:val="es-ES"/>
            </w:rPr>
            <w:t>.;_ylu=Y29sbwNiZjEEcG9zAzEEdnRpZAMEc2VjA3Ny/RV=2/RE=1737430574/RO=10/RU=https%3a%2f%2frevistascientificas.cuc.edu.co%2findex.php%2fculturaeducacionysociedad%2farticle%2fdownload%2f904%2fpdf_127/RK=2/RS=qnK33AMPV25gWfr0giZMyZ5Gqlo-</w:t>
          </w:r>
        </w:p>
        <w:p w:rsidR="00E91822" w:rsidRDefault="00364EA7" w:rsidP="00E91822">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 xml:space="preserve">UNESCO (2021). </w:t>
          </w:r>
          <w:proofErr w:type="spellStart"/>
          <w:r>
            <w:rPr>
              <w:rFonts w:ascii="Times New Roman" w:hAnsi="Times New Roman" w:cs="Times New Roman"/>
              <w:i/>
              <w:sz w:val="17"/>
              <w:szCs w:val="17"/>
              <w:lang w:val="es-ES"/>
            </w:rPr>
            <w:t>Reimaginar</w:t>
          </w:r>
          <w:proofErr w:type="spellEnd"/>
          <w:r>
            <w:rPr>
              <w:rFonts w:ascii="Times New Roman" w:hAnsi="Times New Roman" w:cs="Times New Roman"/>
              <w:i/>
              <w:sz w:val="17"/>
              <w:szCs w:val="17"/>
              <w:lang w:val="es-ES"/>
            </w:rPr>
            <w:t xml:space="preserve"> nuestros futuros Juntos: un nuevo contrato social para la educación</w:t>
          </w:r>
          <w:r>
            <w:rPr>
              <w:rFonts w:ascii="Times New Roman" w:hAnsi="Times New Roman" w:cs="Times New Roman"/>
              <w:sz w:val="17"/>
              <w:szCs w:val="17"/>
              <w:lang w:val="es-ES"/>
            </w:rPr>
            <w:t xml:space="preserve">. </w:t>
          </w:r>
          <w:hyperlink r:id="rId26" w:history="1">
            <w:r w:rsidR="00E91822" w:rsidRPr="007D6C3B">
              <w:rPr>
                <w:rStyle w:val="Hyperlink"/>
                <w:rFonts w:ascii="Times New Roman" w:hAnsi="Times New Roman" w:cs="Times New Roman"/>
                <w:sz w:val="17"/>
                <w:szCs w:val="17"/>
                <w:lang w:val="es-ES"/>
              </w:rPr>
              <w:t>https://unesdoc.unesco.org/ark:/48223/pf0000379381_spa</w:t>
            </w:r>
          </w:hyperlink>
        </w:p>
        <w:p w:rsidR="00BB1A0F" w:rsidRDefault="00364EA7" w:rsidP="00E91822">
          <w:pPr>
            <w:spacing w:after="0" w:line="240" w:lineRule="auto"/>
            <w:ind w:left="709" w:hanging="709"/>
            <w:jc w:val="both"/>
            <w:rPr>
              <w:rFonts w:ascii="Times New Roman" w:hAnsi="Times New Roman" w:cs="Times New Roman"/>
              <w:sz w:val="17"/>
              <w:szCs w:val="17"/>
              <w:lang w:val="es-ES"/>
            </w:rPr>
          </w:pPr>
          <w:r>
            <w:rPr>
              <w:rFonts w:ascii="Times New Roman" w:hAnsi="Times New Roman" w:cs="Times New Roman"/>
              <w:sz w:val="17"/>
              <w:szCs w:val="17"/>
              <w:lang w:val="es-ES"/>
            </w:rPr>
            <w:t xml:space="preserve">UNICEF (2024). Carta abierta de las juventudes a ministras y ministros de educación de América Latina y el Caribe. </w:t>
          </w:r>
          <w:proofErr w:type="gramStart"/>
          <w:r>
            <w:rPr>
              <w:rFonts w:ascii="Times New Roman" w:hAnsi="Times New Roman" w:cs="Times New Roman"/>
              <w:color w:val="4472C4" w:themeColor="accent1"/>
              <w:sz w:val="17"/>
              <w:szCs w:val="17"/>
              <w:u w:val="single"/>
              <w:lang w:val="es-ES"/>
            </w:rPr>
            <w:t>https</w:t>
          </w:r>
          <w:proofErr w:type="gramEnd"/>
          <w:hyperlink r:id="rId27" w:tooltip="http://www.unicef.org/lac/sites/unicef.org.lac/files/2024-01/Carta-abierta-" w:history="1">
            <w:r>
              <w:rPr>
                <w:rStyle w:val="Hyperlink"/>
                <w:rFonts w:ascii="Times New Roman" w:hAnsi="Times New Roman" w:cs="Times New Roman"/>
                <w:color w:val="4472C4" w:themeColor="accent1"/>
                <w:sz w:val="17"/>
                <w:szCs w:val="17"/>
                <w:lang w:val="es-ES"/>
              </w:rPr>
              <w:t>://w</w:t>
            </w:r>
          </w:hyperlink>
          <w:r>
            <w:rPr>
              <w:rFonts w:ascii="Times New Roman" w:hAnsi="Times New Roman" w:cs="Times New Roman"/>
              <w:color w:val="4472C4" w:themeColor="accent1"/>
              <w:sz w:val="17"/>
              <w:szCs w:val="17"/>
              <w:u w:val="single"/>
              <w:lang w:val="es-ES"/>
            </w:rPr>
            <w:t>ww.</w:t>
          </w:r>
          <w:hyperlink r:id="rId28" w:tooltip="http://www.unicef.org/lac/sites/unicef.org.lac/files/2024-01/Carta-abierta-" w:history="1">
            <w:r>
              <w:rPr>
                <w:rStyle w:val="Hyperlink"/>
                <w:rFonts w:ascii="Times New Roman" w:hAnsi="Times New Roman" w:cs="Times New Roman"/>
                <w:color w:val="4472C4" w:themeColor="accent1"/>
                <w:sz w:val="17"/>
                <w:szCs w:val="17"/>
                <w:lang w:val="es-ES"/>
              </w:rPr>
              <w:t>unicef.org/lac/sites/unicef.org.lac/files/2024-01/Carta-abierta-</w:t>
            </w:r>
          </w:hyperlink>
          <w:r>
            <w:rPr>
              <w:rFonts w:ascii="Times New Roman" w:hAnsi="Times New Roman" w:cs="Times New Roman"/>
              <w:color w:val="4472C4" w:themeColor="accent1"/>
              <w:sz w:val="17"/>
              <w:szCs w:val="17"/>
              <w:u w:val="single"/>
              <w:lang w:val="es-ES"/>
            </w:rPr>
            <w:t>juventudes-educacion-transformadora-ministerial 2024.pdf</w:t>
          </w:r>
        </w:p>
        <w:p w:rsidR="00BB1A0F" w:rsidRPr="00E91822" w:rsidRDefault="00364EA7" w:rsidP="00E91822">
          <w:pPr>
            <w:spacing w:after="0" w:line="240" w:lineRule="auto"/>
            <w:jc w:val="both"/>
            <w:rPr>
              <w:rFonts w:ascii="Times New Roman" w:hAnsi="Times New Roman" w:cs="Times New Roman"/>
              <w:sz w:val="17"/>
              <w:szCs w:val="17"/>
              <w:lang w:val="es-PE"/>
            </w:rPr>
          </w:pPr>
        </w:p>
        <w:bookmarkStart w:id="4" w:name="_GoBack" w:displacedByCustomXml="next"/>
        <w:bookmarkEnd w:id="4" w:displacedByCustomXml="next"/>
      </w:sdtContent>
    </w:sdt>
    <w:sectPr w:rsidR="00BB1A0F" w:rsidRPr="00E91822">
      <w:headerReference w:type="default" r:id="rId29"/>
      <w:footerReference w:type="default" r:id="rId30"/>
      <w:pgSz w:w="12240" w:h="15840"/>
      <w:pgMar w:top="1440" w:right="1080" w:bottom="1440" w:left="108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EA7" w:rsidRDefault="00364EA7">
      <w:pPr>
        <w:spacing w:after="0" w:line="240" w:lineRule="auto"/>
      </w:pPr>
      <w:r>
        <w:separator/>
      </w:r>
    </w:p>
  </w:endnote>
  <w:endnote w:type="continuationSeparator" w:id="0">
    <w:p w:rsidR="00364EA7" w:rsidRDefault="00364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ndara Light">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7771620"/>
      <w:docPartObj>
        <w:docPartGallery w:val="Page Numbers (Bottom of Page)"/>
        <w:docPartUnique/>
      </w:docPartObj>
    </w:sdtPr>
    <w:sdtEndPr/>
    <w:sdtContent>
      <w:p w:rsidR="00BB1A0F" w:rsidRDefault="00364EA7">
        <w:pPr>
          <w:pStyle w:val="Footer"/>
          <w:jc w:val="center"/>
        </w:pPr>
        <w:r>
          <w:rPr>
            <w:noProof/>
            <w:lang w:val="en-US"/>
          </w:rPr>
          <mc:AlternateContent>
            <mc:Choice Requires="wpg">
              <w:drawing>
                <wp:inline distT="0" distB="0" distL="0" distR="0">
                  <wp:extent cx="5467350" cy="54610"/>
                  <wp:effectExtent l="38100" t="0" r="0" b="21590"/>
                  <wp:docPr id="5" name="Diagrama de flujo: decisió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chemeClr val="tx1"/>
                          </a:solidFill>
                          <a:ln w="9525">
                            <a:solidFill>
                              <a:schemeClr val="tx1"/>
                            </a:solidFill>
                            <a:miter lim="800000"/>
                            <a:headEnd/>
                            <a:tailEnd/>
                          </a:ln>
                        </wps:spPr>
                        <wps:bodyPr rot="0">
                          <a:prstTxWarp prst="textNoShape">
                            <a:avLst/>
                          </a:prstTxWarp>
                          <a:noAutofit/>
                        </wps:bodyPr>
                      </wps:wsp>
                    </a:graphicData>
                  </a:graphic>
                </wp:inline>
              </w:drawing>
            </mc:Choice>
            <mc:Fallback xmlns:a="http://schemas.openxmlformats.org/drawingml/2006/main" xmlns:w15="http://schemas.microsoft.com/office/word/2012/wordml">
              <w:pict>
                <v:shape id="shape 4" o:spid="_x0000_s4" o:spt="110" type="#_x0000_t110" style="width:430.50pt;height:4.30pt;mso-wrap-distance-left:0.00pt;mso-wrap-distance-top:0.00pt;mso-wrap-distance-right:0.00pt;mso-wrap-distance-bottom:0.00pt;visibility:visible;" fillcolor="#000000" strokecolor="#000000" strokeweight="0.75pt"/>
              </w:pict>
            </mc:Fallback>
          </mc:AlternateContent>
        </w:r>
        <w:r>
          <w:t xml:space="preserve"> </w:t>
        </w:r>
      </w:p>
      <w:p w:rsidR="00BB1A0F" w:rsidRDefault="00364EA7">
        <w:pPr>
          <w:pStyle w:val="Footer"/>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E91822" w:rsidRPr="00E91822">
          <w:rPr>
            <w:rFonts w:ascii="Times New Roman" w:hAnsi="Times New Roman" w:cs="Times New Roman"/>
            <w:noProof/>
            <w:lang w:val="es-ES"/>
          </w:rPr>
          <w:t>1</w:t>
        </w:r>
        <w:r>
          <w:rPr>
            <w:rFonts w:ascii="Times New Roman" w:hAnsi="Times New Roman" w:cs="Times New Roman"/>
          </w:rPr>
          <w:fldChar w:fldCharType="end"/>
        </w:r>
      </w:p>
    </w:sdtContent>
  </w:sdt>
  <w:p w:rsidR="00BB1A0F" w:rsidRDefault="00BB1A0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EA7" w:rsidRDefault="00364EA7">
      <w:pPr>
        <w:spacing w:after="0" w:line="240" w:lineRule="auto"/>
      </w:pPr>
      <w:r>
        <w:separator/>
      </w:r>
    </w:p>
  </w:footnote>
  <w:footnote w:type="continuationSeparator" w:id="0">
    <w:p w:rsidR="00364EA7" w:rsidRDefault="00364E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A0F" w:rsidRDefault="00364EA7">
    <w:pPr>
      <w:pStyle w:val="Header"/>
      <w:rPr>
        <w:b/>
        <w:bCs/>
        <w:color w:val="000000" w:themeColor="text1"/>
        <w:lang w:val="es-ES"/>
      </w:rPr>
    </w:pPr>
    <w:r>
      <w:rPr>
        <w:b/>
        <w:bCs/>
        <w:noProof/>
        <w:color w:val="000000" w:themeColor="text1"/>
        <w:lang w:val="en-US"/>
      </w:rPr>
      <mc:AlternateContent>
        <mc:Choice Requires="wpg">
          <w:drawing>
            <wp:anchor distT="0" distB="0" distL="114300" distR="114300" simplePos="0" relativeHeight="251664384" behindDoc="0" locked="0" layoutInCell="1" allowOverlap="1">
              <wp:simplePos x="0" y="0"/>
              <wp:positionH relativeFrom="column">
                <wp:posOffset>485775</wp:posOffset>
              </wp:positionH>
              <wp:positionV relativeFrom="paragraph">
                <wp:posOffset>-278130</wp:posOffset>
              </wp:positionV>
              <wp:extent cx="5270156" cy="657225"/>
              <wp:effectExtent l="0" t="0" r="26034" b="28575"/>
              <wp:wrapNone/>
              <wp:docPr id="1" name="Cuadro de texto 1"/>
              <wp:cNvGraphicFramePr/>
              <a:graphic xmlns:a="http://schemas.openxmlformats.org/drawingml/2006/main">
                <a:graphicData uri="http://schemas.microsoft.com/office/word/2010/wordprocessingShape">
                  <wps:wsp>
                    <wps:cNvSpPr txBox="1"/>
                    <wps:spPr bwMode="auto">
                      <a:xfrm>
                        <a:off x="0" y="0"/>
                        <a:ext cx="5270156" cy="657225"/>
                      </a:xfrm>
                      <a:prstGeom prst="rect">
                        <a:avLst/>
                      </a:prstGeom>
                      <a:solidFill>
                        <a:schemeClr val="tx1"/>
                      </a:solidFill>
                      <a:ln w="6350">
                        <a:solidFill>
                          <a:prstClr val="black"/>
                        </a:solidFill>
                      </a:ln>
                    </wps:spPr>
                    <wps:txbx>
                      <w:txbxContent>
                        <w:p w:rsidR="00BB1A0F" w:rsidRDefault="00364EA7">
                          <w:pPr>
                            <w:spacing w:after="0" w:line="240" w:lineRule="auto"/>
                            <w:jc w:val="center"/>
                            <w:rPr>
                              <w:rFonts w:ascii="Candara Light" w:hAnsi="Candara Light"/>
                              <w:b/>
                              <w:bCs/>
                              <w:color w:val="FFFFFF" w:themeColor="background1"/>
                              <w:sz w:val="18"/>
                              <w:szCs w:val="18"/>
                            </w:rPr>
                          </w:pPr>
                          <w:r>
                            <w:rPr>
                              <w:rFonts w:ascii="Candara Light" w:hAnsi="Candara Light"/>
                              <w:b/>
                              <w:bCs/>
                              <w:color w:val="FFFFFF" w:themeColor="background1"/>
                              <w:sz w:val="18"/>
                              <w:szCs w:val="18"/>
                              <w:lang w:val="es-ES"/>
                            </w:rPr>
                            <w:t xml:space="preserve">REVISTA INVECOM “Estudios </w:t>
                          </w:r>
                          <w:proofErr w:type="spellStart"/>
                          <w:r>
                            <w:rPr>
                              <w:rFonts w:ascii="Candara Light" w:hAnsi="Candara Light"/>
                              <w:b/>
                              <w:bCs/>
                              <w:color w:val="FFFFFF" w:themeColor="background1"/>
                              <w:sz w:val="18"/>
                              <w:szCs w:val="18"/>
                              <w:lang w:val="es-ES"/>
                            </w:rPr>
                            <w:t>transdisciplinarios</w:t>
                          </w:r>
                          <w:proofErr w:type="spellEnd"/>
                          <w:r>
                            <w:rPr>
                              <w:rFonts w:ascii="Candara Light" w:hAnsi="Candara Light"/>
                              <w:b/>
                              <w:bCs/>
                              <w:color w:val="FFFFFF" w:themeColor="background1"/>
                              <w:sz w:val="18"/>
                              <w:szCs w:val="18"/>
                              <w:lang w:val="es-ES"/>
                            </w:rPr>
                            <w:t xml:space="preserve"> en comunicación y sociedad” / ISSN 2739-0063 / </w:t>
                          </w:r>
                          <w:hyperlink r:id="rId1" w:tooltip="http://www.revistainvecom.org" w:history="1">
                            <w:r>
                              <w:rPr>
                                <w:rStyle w:val="Hyperlink"/>
                                <w:rFonts w:ascii="Candara Light" w:hAnsi="Candara Light"/>
                                <w:b/>
                                <w:bCs/>
                                <w:color w:val="FFFFFF" w:themeColor="background1"/>
                                <w:sz w:val="18"/>
                                <w:szCs w:val="18"/>
                                <w:lang w:val="es-ES"/>
                              </w:rPr>
                              <w:t>www.revis</w:t>
                            </w:r>
                            <w:r>
                              <w:rPr>
                                <w:rStyle w:val="Hyperlink"/>
                                <w:rFonts w:ascii="Candara Light" w:hAnsi="Candara Light"/>
                                <w:b/>
                                <w:bCs/>
                                <w:color w:val="FFFFFF" w:themeColor="background1"/>
                                <w:sz w:val="18"/>
                                <w:szCs w:val="18"/>
                                <w:lang w:val="es-ES"/>
                              </w:rPr>
                              <w:t>tainvecom.org</w:t>
                            </w:r>
                          </w:hyperlink>
                          <w:r>
                            <w:rPr>
                              <w:rFonts w:ascii="Candara Light" w:hAnsi="Candara Light"/>
                              <w:b/>
                              <w:bCs/>
                              <w:color w:val="FFFFFF" w:themeColor="background1"/>
                              <w:sz w:val="18"/>
                              <w:szCs w:val="18"/>
                              <w:lang w:val="es-ES"/>
                            </w:rPr>
                            <w:t xml:space="preserve">  Vol. 5, # 3, 2025. Licencia CC BY. Expectativas sobre la educación en estudiantes de secundaria de un colegio estatal en San Juan de Lurigancho. Rómulo </w:t>
                          </w:r>
                          <w:proofErr w:type="spellStart"/>
                          <w:r>
                            <w:rPr>
                              <w:rFonts w:ascii="Candara Light" w:hAnsi="Candara Light"/>
                              <w:b/>
                              <w:bCs/>
                              <w:color w:val="FFFFFF" w:themeColor="background1"/>
                              <w:sz w:val="18"/>
                              <w:szCs w:val="18"/>
                              <w:lang w:val="es-ES"/>
                            </w:rPr>
                            <w:t>Cresenciano</w:t>
                          </w:r>
                          <w:proofErr w:type="spellEnd"/>
                          <w:r>
                            <w:rPr>
                              <w:rFonts w:ascii="Candara Light" w:hAnsi="Candara Light"/>
                              <w:b/>
                              <w:bCs/>
                              <w:color w:val="FFFFFF" w:themeColor="background1"/>
                              <w:sz w:val="18"/>
                              <w:szCs w:val="18"/>
                              <w:lang w:val="es-ES"/>
                            </w:rPr>
                            <w:t xml:space="preserve"> Romero Centeno, Rommel </w:t>
                          </w:r>
                          <w:proofErr w:type="spellStart"/>
                          <w:r>
                            <w:rPr>
                              <w:rFonts w:ascii="Candara Light" w:hAnsi="Candara Light"/>
                              <w:b/>
                              <w:bCs/>
                              <w:color w:val="FFFFFF" w:themeColor="background1"/>
                              <w:sz w:val="18"/>
                              <w:szCs w:val="18"/>
                              <w:lang w:val="es-ES"/>
                            </w:rPr>
                            <w:t>Esnaider</w:t>
                          </w:r>
                          <w:proofErr w:type="spellEnd"/>
                          <w:r>
                            <w:rPr>
                              <w:rFonts w:ascii="Candara Light" w:hAnsi="Candara Light"/>
                              <w:b/>
                              <w:bCs/>
                              <w:color w:val="FFFFFF" w:themeColor="background1"/>
                              <w:sz w:val="18"/>
                              <w:szCs w:val="18"/>
                              <w:lang w:val="es-ES"/>
                            </w:rPr>
                            <w:t xml:space="preserve"> Romero Alva y </w:t>
                          </w:r>
                          <w:proofErr w:type="spellStart"/>
                          <w:r>
                            <w:rPr>
                              <w:rFonts w:ascii="Candara Light" w:hAnsi="Candara Light"/>
                              <w:b/>
                              <w:bCs/>
                              <w:color w:val="FFFFFF" w:themeColor="background1"/>
                              <w:sz w:val="18"/>
                              <w:szCs w:val="18"/>
                              <w:lang w:val="es-ES"/>
                            </w:rPr>
                            <w:t>Ríder</w:t>
                          </w:r>
                          <w:proofErr w:type="spellEnd"/>
                          <w:r>
                            <w:rPr>
                              <w:rFonts w:ascii="Candara Light" w:hAnsi="Candara Light"/>
                              <w:b/>
                              <w:bCs/>
                              <w:color w:val="FFFFFF" w:themeColor="background1"/>
                              <w:sz w:val="18"/>
                              <w:szCs w:val="18"/>
                              <w:lang w:val="es-ES"/>
                            </w:rPr>
                            <w:t xml:space="preserve"> </w:t>
                          </w:r>
                          <w:proofErr w:type="spellStart"/>
                          <w:r>
                            <w:rPr>
                              <w:rFonts w:ascii="Candara Light" w:hAnsi="Candara Light"/>
                              <w:b/>
                              <w:bCs/>
                              <w:color w:val="FFFFFF" w:themeColor="background1"/>
                              <w:sz w:val="18"/>
                              <w:szCs w:val="18"/>
                              <w:lang w:val="es-ES"/>
                            </w:rPr>
                            <w:t>Oustin</w:t>
                          </w:r>
                          <w:proofErr w:type="spellEnd"/>
                          <w:r>
                            <w:rPr>
                              <w:rFonts w:ascii="Candara Light" w:hAnsi="Candara Light"/>
                              <w:b/>
                              <w:bCs/>
                              <w:color w:val="FFFFFF" w:themeColor="background1"/>
                              <w:sz w:val="18"/>
                              <w:szCs w:val="18"/>
                              <w:lang w:val="es-ES"/>
                            </w:rPr>
                            <w:t xml:space="preserve"> </w:t>
                          </w:r>
                          <w:proofErr w:type="spellStart"/>
                          <w:r>
                            <w:rPr>
                              <w:rFonts w:ascii="Candara Light" w:hAnsi="Candara Light"/>
                              <w:b/>
                              <w:bCs/>
                              <w:color w:val="FFFFFF" w:themeColor="background1"/>
                              <w:sz w:val="18"/>
                              <w:szCs w:val="18"/>
                              <w:lang w:val="es-ES"/>
                            </w:rPr>
                            <w:t>Irnak</w:t>
                          </w:r>
                          <w:proofErr w:type="spellEnd"/>
                          <w:r>
                            <w:rPr>
                              <w:rFonts w:ascii="Candara Light" w:hAnsi="Candara Light"/>
                              <w:b/>
                              <w:bCs/>
                              <w:color w:val="FFFFFF" w:themeColor="background1"/>
                              <w:sz w:val="18"/>
                              <w:szCs w:val="18"/>
                              <w:lang w:val="es-ES"/>
                            </w:rPr>
                            <w:t xml:space="preserve"> Romero Alva.</w:t>
                          </w:r>
                          <w:r>
                            <w:rPr>
                              <w:rFonts w:ascii="Candara Light" w:hAnsi="Candara Light"/>
                              <w:b/>
                              <w:bCs/>
                              <w:color w:val="FFFFFF" w:themeColor="background1"/>
                              <w:sz w:val="18"/>
                              <w:szCs w:val="18"/>
                              <w:lang w:val="es-ES"/>
                            </w:rPr>
                            <w:t xml:space="preserve"> </w:t>
                          </w:r>
                        </w:p>
                        <w:p w:rsidR="00BB1A0F" w:rsidRDefault="00BB1A0F">
                          <w:pPr>
                            <w:rPr>
                              <w:sz w:val="20"/>
                              <w:szCs w:val="20"/>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0" o:spid="_x0000_s0" o:spt="202" type="#_x0000_t202" style="position:absolute;z-index:251664384;o:allowoverlap:true;o:allowincell:true;mso-position-horizontal-relative:text;margin-left:38.25pt;mso-position-horizontal:absolute;mso-position-vertical-relative:text;margin-top:-21.90pt;mso-position-vertical:absolute;width:414.97pt;height:51.75pt;mso-wrap-distance-left:9.00pt;mso-wrap-distance-top:0.00pt;mso-wrap-distance-right:9.00pt;mso-wrap-distance-bottom:0.00pt;v-text-anchor:top;visibility:visible;" fillcolor="#000000" strokecolor="#000000" strokeweight="0.50pt">
              <v:textbox inset="0,0,0,0">
                <w:txbxContent>
                  <w:p>
                    <w:pPr>
                      <w:pBdr/>
                      <w:spacing w:after="0" w:line="240" w:lineRule="auto"/>
                      <w:ind/>
                      <w:jc w:val="center"/>
                      <w:rPr>
                        <w:rFonts w:ascii="Candara Light" w:hAnsi="Candara Light"/>
                        <w:b/>
                        <w:bCs/>
                        <w:color w:val="ffffff" w:themeColor="background1"/>
                        <w:sz w:val="18"/>
                        <w:szCs w:val="18"/>
                      </w:rPr>
                    </w:pPr>
                    <w:r>
                      <w:rPr>
                        <w:rFonts w:ascii="Candara Light" w:hAnsi="Candara Light"/>
                        <w:b/>
                        <w:bCs/>
                        <w:color w:val="ffffff" w:themeColor="background1"/>
                        <w:sz w:val="18"/>
                        <w:szCs w:val="18"/>
                        <w:lang w:val="es-ES"/>
                      </w:rPr>
                      <w:t xml:space="preserve">REVISTA INVECOM “Estudios transdisciplinarios en comunicación y sociedad” / ISSN 2739-0063 / </w:t>
                    </w:r>
                    <w:hyperlink r:id="rId2" w:tooltip="http://www.revistainvecom.org" w:history="1">
                      <w:r>
                        <w:rPr>
                          <w:rStyle w:val="1009"/>
                          <w:rFonts w:ascii="Candara Light" w:hAnsi="Candara Light"/>
                          <w:b/>
                          <w:bCs/>
                          <w:color w:val="ffffff" w:themeColor="background1"/>
                          <w:sz w:val="18"/>
                          <w:szCs w:val="18"/>
                          <w:lang w:val="es-ES"/>
                        </w:rPr>
                        <w:t xml:space="preserve">www.revistainvecom.org</w:t>
                      </w:r>
                    </w:hyperlink>
                    <w:r>
                      <w:rPr>
                        <w:rFonts w:ascii="Candara Light" w:hAnsi="Candara Light"/>
                        <w:b/>
                        <w:bCs/>
                        <w:color w:val="ffffff" w:themeColor="background1"/>
                        <w:sz w:val="18"/>
                        <w:szCs w:val="18"/>
                        <w:lang w:val="es-ES"/>
                      </w:rPr>
                      <w:t xml:space="preserve">  Vol. 5, # </w:t>
                    </w:r>
                    <w:r>
                      <w:rPr>
                        <w:rFonts w:ascii="Candara Light" w:hAnsi="Candara Light"/>
                        <w:b/>
                        <w:bCs/>
                        <w:color w:val="ffffff" w:themeColor="background1"/>
                        <w:sz w:val="18"/>
                        <w:szCs w:val="18"/>
                        <w:lang w:val="es-ES"/>
                      </w:rPr>
                      <w:t xml:space="preserve">3</w:t>
                    </w:r>
                    <w:r>
                      <w:rPr>
                        <w:rFonts w:ascii="Candara Light" w:hAnsi="Candara Light"/>
                        <w:b/>
                        <w:bCs/>
                        <w:color w:val="ffffff" w:themeColor="background1"/>
                        <w:sz w:val="18"/>
                        <w:szCs w:val="18"/>
                        <w:lang w:val="es-ES"/>
                      </w:rPr>
                      <w:t xml:space="preserve">, 2025. Licencia CC BY. </w:t>
                    </w:r>
                    <w:r>
                      <w:rPr>
                        <w:rFonts w:ascii="Candara Light" w:hAnsi="Candara Light"/>
                        <w:b/>
                        <w:bCs/>
                        <w:color w:val="ffffff" w:themeColor="background1"/>
                        <w:sz w:val="18"/>
                        <w:szCs w:val="18"/>
                        <w:lang w:val="es-ES"/>
                      </w:rPr>
                      <w:t xml:space="preserve">Expectativas sobre la educación en estudiantes de secundaria de un colegio estatal en San Juan de Lurigancho</w:t>
                    </w:r>
                    <w:r>
                      <w:rPr>
                        <w:rFonts w:ascii="Candara Light" w:hAnsi="Candara Light"/>
                        <w:b/>
                        <w:bCs/>
                        <w:color w:val="ffffff" w:themeColor="background1"/>
                        <w:sz w:val="18"/>
                        <w:szCs w:val="18"/>
                        <w:lang w:val="es-ES"/>
                      </w:rPr>
                      <w:t xml:space="preserve">. </w:t>
                    </w:r>
                    <w:r>
                      <w:rPr>
                        <w:rFonts w:ascii="Candara Light" w:hAnsi="Candara Light"/>
                        <w:b/>
                        <w:bCs/>
                        <w:color w:val="ffffff" w:themeColor="background1"/>
                        <w:sz w:val="18"/>
                        <w:szCs w:val="18"/>
                        <w:lang w:val="es-ES"/>
                      </w:rPr>
                      <w:t xml:space="preserve">Rómulo </w:t>
                    </w:r>
                    <w:r>
                      <w:rPr>
                        <w:rFonts w:ascii="Candara Light" w:hAnsi="Candara Light"/>
                        <w:b/>
                        <w:bCs/>
                        <w:color w:val="ffffff" w:themeColor="background1"/>
                        <w:sz w:val="18"/>
                        <w:szCs w:val="18"/>
                        <w:lang w:val="es-ES"/>
                      </w:rPr>
                      <w:t xml:space="preserve">Cresenciano</w:t>
                    </w:r>
                    <w:r>
                      <w:rPr>
                        <w:rFonts w:ascii="Candara Light" w:hAnsi="Candara Light"/>
                        <w:b/>
                        <w:bCs/>
                        <w:color w:val="ffffff" w:themeColor="background1"/>
                        <w:sz w:val="18"/>
                        <w:szCs w:val="18"/>
                        <w:lang w:val="es-ES"/>
                      </w:rPr>
                      <w:t xml:space="preserve"> Romero Centeno</w:t>
                    </w:r>
                    <w:r>
                      <w:rPr>
                        <w:rFonts w:ascii="Candara Light" w:hAnsi="Candara Light"/>
                        <w:b/>
                        <w:bCs/>
                        <w:color w:val="ffffff" w:themeColor="background1"/>
                        <w:sz w:val="18"/>
                        <w:szCs w:val="18"/>
                        <w:lang w:val="es-ES"/>
                      </w:rPr>
                      <w:t xml:space="preserve">, </w:t>
                    </w:r>
                    <w:r>
                      <w:rPr>
                        <w:rFonts w:ascii="Candara Light" w:hAnsi="Candara Light"/>
                        <w:b/>
                        <w:bCs/>
                        <w:color w:val="ffffff" w:themeColor="background1"/>
                        <w:sz w:val="18"/>
                        <w:szCs w:val="18"/>
                        <w:lang w:val="es-ES"/>
                      </w:rPr>
                      <w:t xml:space="preserve">Rommel </w:t>
                    </w:r>
                    <w:r>
                      <w:rPr>
                        <w:rFonts w:ascii="Candara Light" w:hAnsi="Candara Light"/>
                        <w:b/>
                        <w:bCs/>
                        <w:color w:val="ffffff" w:themeColor="background1"/>
                        <w:sz w:val="18"/>
                        <w:szCs w:val="18"/>
                        <w:lang w:val="es-ES"/>
                      </w:rPr>
                      <w:t xml:space="preserve">Esnaider</w:t>
                    </w:r>
                    <w:r>
                      <w:rPr>
                        <w:rFonts w:ascii="Candara Light" w:hAnsi="Candara Light"/>
                        <w:b/>
                        <w:bCs/>
                        <w:color w:val="ffffff" w:themeColor="background1"/>
                        <w:sz w:val="18"/>
                        <w:szCs w:val="18"/>
                        <w:lang w:val="es-ES"/>
                      </w:rPr>
                      <w:t xml:space="preserve"> Romero Alva</w:t>
                    </w:r>
                    <w:r>
                      <w:rPr>
                        <w:rFonts w:ascii="Candara Light" w:hAnsi="Candara Light"/>
                        <w:b/>
                        <w:bCs/>
                        <w:color w:val="ffffff" w:themeColor="background1"/>
                        <w:sz w:val="18"/>
                        <w:szCs w:val="18"/>
                        <w:lang w:val="es-ES"/>
                      </w:rPr>
                      <w:t xml:space="preserve"> y </w:t>
                    </w:r>
                    <w:r>
                      <w:rPr>
                        <w:rFonts w:ascii="Candara Light" w:hAnsi="Candara Light"/>
                        <w:b/>
                        <w:bCs/>
                        <w:color w:val="ffffff" w:themeColor="background1"/>
                        <w:sz w:val="18"/>
                        <w:szCs w:val="18"/>
                        <w:lang w:val="es-ES"/>
                      </w:rPr>
                      <w:t xml:space="preserve">Ríder</w:t>
                    </w:r>
                    <w:r>
                      <w:rPr>
                        <w:rFonts w:ascii="Candara Light" w:hAnsi="Candara Light"/>
                        <w:b/>
                        <w:bCs/>
                        <w:color w:val="ffffff" w:themeColor="background1"/>
                        <w:sz w:val="18"/>
                        <w:szCs w:val="18"/>
                        <w:lang w:val="es-ES"/>
                      </w:rPr>
                      <w:t xml:space="preserve"> </w:t>
                    </w:r>
                    <w:r>
                      <w:rPr>
                        <w:rFonts w:ascii="Candara Light" w:hAnsi="Candara Light"/>
                        <w:b/>
                        <w:bCs/>
                        <w:color w:val="ffffff" w:themeColor="background1"/>
                        <w:sz w:val="18"/>
                        <w:szCs w:val="18"/>
                        <w:lang w:val="es-ES"/>
                      </w:rPr>
                      <w:t xml:space="preserve">Oustin</w:t>
                    </w:r>
                    <w:r>
                      <w:rPr>
                        <w:rFonts w:ascii="Candara Light" w:hAnsi="Candara Light"/>
                        <w:b/>
                        <w:bCs/>
                        <w:color w:val="ffffff" w:themeColor="background1"/>
                        <w:sz w:val="18"/>
                        <w:szCs w:val="18"/>
                        <w:lang w:val="es-ES"/>
                      </w:rPr>
                      <w:t xml:space="preserve"> </w:t>
                    </w:r>
                    <w:r>
                      <w:rPr>
                        <w:rFonts w:ascii="Candara Light" w:hAnsi="Candara Light"/>
                        <w:b/>
                        <w:bCs/>
                        <w:color w:val="ffffff" w:themeColor="background1"/>
                        <w:sz w:val="18"/>
                        <w:szCs w:val="18"/>
                        <w:lang w:val="es-ES"/>
                      </w:rPr>
                      <w:t xml:space="preserve">Irnak</w:t>
                    </w:r>
                    <w:r>
                      <w:rPr>
                        <w:rFonts w:ascii="Candara Light" w:hAnsi="Candara Light"/>
                        <w:b/>
                        <w:bCs/>
                        <w:color w:val="ffffff" w:themeColor="background1"/>
                        <w:sz w:val="18"/>
                        <w:szCs w:val="18"/>
                        <w:lang w:val="es-ES"/>
                      </w:rPr>
                      <w:t xml:space="preserve"> Romero Alva</w:t>
                    </w:r>
                    <w:r>
                      <w:rPr>
                        <w:rFonts w:ascii="Candara Light" w:hAnsi="Candara Light"/>
                        <w:b/>
                        <w:bCs/>
                        <w:color w:val="ffffff" w:themeColor="background1"/>
                        <w:sz w:val="18"/>
                        <w:szCs w:val="18"/>
                        <w:lang w:val="es-ES"/>
                      </w:rPr>
                      <w:t xml:space="preserve">. </w:t>
                    </w:r>
                    <w:r>
                      <w:rPr>
                        <w:rFonts w:ascii="Candara Light" w:hAnsi="Candara Light"/>
                        <w:b/>
                        <w:bCs/>
                        <w:color w:val="ffffff" w:themeColor="background1"/>
                        <w:sz w:val="18"/>
                        <w:szCs w:val="18"/>
                      </w:rPr>
                    </w:r>
                    <w:r>
                      <w:rPr>
                        <w:rFonts w:ascii="Candara Light" w:hAnsi="Candara Light"/>
                        <w:b/>
                        <w:bCs/>
                        <w:color w:val="ffffff" w:themeColor="background1"/>
                        <w:sz w:val="18"/>
                        <w:szCs w:val="18"/>
                      </w:rPr>
                    </w:r>
                  </w:p>
                  <w:p>
                    <w:pPr>
                      <w:pBdr/>
                      <w:spacing/>
                      <w:ind/>
                      <w:rPr>
                        <w:sz w:val="20"/>
                        <w:szCs w:val="20"/>
                        <w:lang w:val="es-ES"/>
                      </w:rPr>
                    </w:pPr>
                    <w:r>
                      <w:rPr>
                        <w:sz w:val="20"/>
                        <w:szCs w:val="20"/>
                        <w:lang w:val="es-ES"/>
                      </w:rPr>
                    </w:r>
                    <w:r>
                      <w:rPr>
                        <w:sz w:val="20"/>
                        <w:szCs w:val="20"/>
                        <w:lang w:val="es-ES"/>
                      </w:rPr>
                    </w:r>
                    <w:r>
                      <w:rPr>
                        <w:sz w:val="20"/>
                        <w:szCs w:val="20"/>
                        <w:lang w:val="es-ES"/>
                      </w:rPr>
                    </w:r>
                  </w:p>
                </w:txbxContent>
              </v:textbox>
            </v:shape>
          </w:pict>
        </mc:Fallback>
      </mc:AlternateContent>
    </w:r>
    <w:r>
      <w:rPr>
        <w:noProof/>
        <w:lang w:val="en-US"/>
      </w:rPr>
      <mc:AlternateContent>
        <mc:Choice Requires="wpg">
          <w:drawing>
            <wp:anchor distT="0" distB="0" distL="114300" distR="114300" simplePos="0" relativeHeight="251665408" behindDoc="0" locked="0" layoutInCell="1" allowOverlap="1">
              <wp:simplePos x="0" y="0"/>
              <wp:positionH relativeFrom="column">
                <wp:posOffset>5814695</wp:posOffset>
              </wp:positionH>
              <wp:positionV relativeFrom="paragraph">
                <wp:posOffset>-189951</wp:posOffset>
              </wp:positionV>
              <wp:extent cx="1165410" cy="407773"/>
              <wp:effectExtent l="0" t="0" r="0" b="0"/>
              <wp:wrapNone/>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094766" name="Imagen 1"/>
                      <pic:cNvPicPr>
                        <a:picLocks noChangeAspect="1"/>
                      </pic:cNvPicPr>
                    </pic:nvPicPr>
                    <pic:blipFill>
                      <a:blip r:embed="rId3"/>
                      <a:stretch/>
                    </pic:blipFill>
                    <pic:spPr bwMode="auto">
                      <a:xfrm>
                        <a:off x="0" y="0"/>
                        <a:ext cx="1165410" cy="407773"/>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65408;o:allowoverlap:true;o:allowincell:true;mso-position-horizontal-relative:text;margin-left:457.85pt;mso-position-horizontal:absolute;mso-position-vertical-relative:text;margin-top:-14.96pt;mso-position-vertical:absolute;width:91.76pt;height:32.11pt;mso-wrap-distance-left:9.00pt;mso-wrap-distance-top:0.00pt;mso-wrap-distance-right:9.00pt;mso-wrap-distance-bottom:0.00pt;z-index:1;" stroked="false">
              <v:imagedata r:id="rId4" o:title=""/>
              <o:lock v:ext="edit" rotation="t"/>
            </v:shape>
          </w:pict>
        </mc:Fallback>
      </mc:AlternateContent>
    </w:r>
    <w:r>
      <w:rPr>
        <w:b/>
        <w:bCs/>
        <w:noProof/>
        <w:color w:val="000000" w:themeColor="text1"/>
        <w:lang w:val="en-US"/>
      </w:rPr>
      <mc:AlternateContent>
        <mc:Choice Requires="wpg">
          <w:drawing>
            <wp:anchor distT="45720" distB="45720" distL="114300" distR="114300" simplePos="0" relativeHeight="251663360" behindDoc="0" locked="0" layoutInCell="1" allowOverlap="1">
              <wp:simplePos x="0" y="0"/>
              <wp:positionH relativeFrom="column">
                <wp:posOffset>-721789</wp:posOffset>
              </wp:positionH>
              <wp:positionV relativeFrom="paragraph">
                <wp:posOffset>-437240</wp:posOffset>
              </wp:positionV>
              <wp:extent cx="7796530" cy="988060"/>
              <wp:effectExtent l="0" t="0" r="13970" b="2159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6530" cy="988060"/>
                      </a:xfrm>
                      <a:prstGeom prst="rect">
                        <a:avLst/>
                      </a:prstGeom>
                      <a:solidFill>
                        <a:schemeClr val="tx1"/>
                      </a:solidFill>
                      <a:ln>
                        <a:headEnd/>
                        <a:tailEnd/>
                      </a:ln>
                    </wps:spPr>
                    <wps:style>
                      <a:lnRef idx="2">
                        <a:schemeClr val="accent3">
                          <a:shade val="15000"/>
                        </a:schemeClr>
                      </a:lnRef>
                      <a:fillRef idx="1">
                        <a:schemeClr val="accent3"/>
                      </a:fillRef>
                      <a:effectRef idx="0">
                        <a:schemeClr val="accent3"/>
                      </a:effectRef>
                      <a:fontRef idx="minor">
                        <a:schemeClr val="lt1"/>
                      </a:fontRef>
                    </wps:style>
                    <wps:txbx>
                      <w:txbxContent>
                        <w:p w:rsidR="00BB1A0F" w:rsidRDefault="00364EA7">
                          <w:pPr>
                            <w:spacing w:after="0" w:line="240" w:lineRule="auto"/>
                            <w:jc w:val="both"/>
                            <w:rPr>
                              <w:rFonts w:ascii="Candara Light" w:hAnsi="Candara Light"/>
                              <w:b/>
                              <w:bCs/>
                              <w:color w:val="000000" w:themeColor="text1"/>
                              <w:lang w:val="es-ES"/>
                            </w:rPr>
                          </w:pPr>
                          <w:r>
                            <w:rPr>
                              <w:noProof/>
                              <w:lang w:val="en-US"/>
                              <w14:ligatures w14:val="standardContextual"/>
                            </w:rPr>
                            <w:drawing>
                              <wp:inline distT="0" distB="0" distL="0" distR="0">
                                <wp:extent cx="1249680" cy="883920"/>
                                <wp:effectExtent l="0" t="0" r="0" b="0"/>
                                <wp:docPr id="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03286" name="Imagen 1501603286"/>
                                        <pic:cNvPicPr>
                                          <a:picLocks noChangeAspect="1"/>
                                        </pic:cNvPicPr>
                                      </pic:nvPicPr>
                                      <pic:blipFill>
                                        <a:blip r:embed="rId5"/>
                                        <a:stretch/>
                                      </pic:blipFill>
                                      <pic:spPr bwMode="auto">
                                        <a:xfrm>
                                          <a:off x="0" y="0"/>
                                          <a:ext cx="1253248" cy="886444"/>
                                        </a:xfrm>
                                        <a:prstGeom prst="rect">
                                          <a:avLst/>
                                        </a:prstGeom>
                                      </pic:spPr>
                                    </pic:pic>
                                  </a:graphicData>
                                </a:graphic>
                              </wp:inline>
                            </w:drawing>
                          </w:r>
                        </w:p>
                        <w:p w:rsidR="00BB1A0F" w:rsidRDefault="00BB1A0F">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5="http://schemas.microsoft.com/office/word/2012/wordml">
          <w:pict>
            <v:shape id="shape 3" o:spid="_x0000_s3" o:spt="202" type="#_x0000_t202" style="position:absolute;z-index:251663360;o:allowoverlap:true;o:allowincell:true;mso-position-horizontal-relative:text;margin-left:-56.83pt;mso-position-horizontal:absolute;mso-position-vertical-relative:text;margin-top:-34.43pt;mso-position-vertical:absolute;width:613.90pt;height:77.80pt;mso-wrap-distance-left:9.00pt;mso-wrap-distance-top:3.60pt;mso-wrap-distance-right:9.00pt;mso-wrap-distance-bottom:3.60pt;v-text-anchor:top;visibility:visible;" fillcolor="#000000" strokecolor="#181818" strokeweight="1.00pt">
              <v:stroke dashstyle="solid"/>
              <w10:wrap type="square"/>
              <v:textbox inset="0,0,0,0">
                <w:txbxContent>
                  <w:p>
                    <w:pPr>
                      <w:pBdr/>
                      <w:spacing w:after="0" w:line="240" w:lineRule="auto"/>
                      <w:ind/>
                      <w:jc w:val="both"/>
                      <w:rPr>
                        <w:rFonts w:ascii="Candara Light" w:hAnsi="Candara Light"/>
                        <w:b/>
                        <w:bCs/>
                        <w:color w:val="000000" w:themeColor="text1"/>
                        <w:lang w:val="es-ES"/>
                      </w:rPr>
                    </w:pPr>
                    <w:r>
                      <w:rPr>
                        <w:lang w:val="es-ES"/>
                        <w14:ligatures w14:val="standardContextual"/>
                      </w:rPr>
                      <mc:AlternateContent>
                        <mc:Choice Requires="wpg">
                          <w:drawing>
                            <wp:inline xmlns:wp="http://schemas.openxmlformats.org/drawingml/2006/wordprocessingDrawing" distT="0" distB="0" distL="0" distR="0">
                              <wp:extent cx="1249680" cy="883920"/>
                              <wp:effectExtent l="0" t="0" r="0" b="0"/>
                              <wp:docPr id="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603286" name="Imagen 1501603286"/>
                                      <pic:cNvPicPr>
                                        <a:picLocks noChangeAspect="1"/>
                                      </pic:cNvPicPr>
                                      <pic:nvPr/>
                                    </pic:nvPicPr>
                                    <pic:blipFill>
                                      <a:blip r:embed="rId6"/>
                                      <a:stretch/>
                                    </pic:blipFill>
                                    <pic:spPr bwMode="auto">
                                      <a:xfrm>
                                        <a:off x="0" y="0"/>
                                        <a:ext cx="1253248" cy="886444"/>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98.40pt;height:69.60pt;mso-wrap-distance-left:0.00pt;mso-wrap-distance-top:0.00pt;mso-wrap-distance-right:0.00pt;mso-wrap-distance-bottom:0.00pt;z-index:1;" stroked="false">
                              <v:imagedata r:id="rId6" o:title=""/>
                              <o:lock v:ext="edit" rotation="t"/>
                            </v:shape>
                          </w:pict>
                        </mc:Fallback>
                      </mc:AlternateContent>
                    </w:r>
                    <w:r>
                      <w:rPr>
                        <w:rFonts w:ascii="Candara Light" w:hAnsi="Candara Light"/>
                        <w:b/>
                        <w:bCs/>
                        <w:color w:val="000000" w:themeColor="text1"/>
                        <w:lang w:val="es-ES"/>
                      </w:rPr>
                    </w:r>
                    <w:r>
                      <w:rPr>
                        <w:rFonts w:ascii="Candara Light" w:hAnsi="Candara Light"/>
                        <w:b/>
                        <w:bCs/>
                        <w:color w:val="000000" w:themeColor="text1"/>
                        <w:lang w:val="es-ES"/>
                      </w:rPr>
                    </w:r>
                  </w:p>
                  <w:p>
                    <w:pPr>
                      <w:pBdr/>
                      <w:spacing/>
                      <w:ind/>
                      <w:rPr>
                        <w:lang w:val="es-ES"/>
                      </w:rPr>
                    </w:pPr>
                    <w:r>
                      <w:rPr>
                        <w:lang w:val="es-ES"/>
                      </w:rPr>
                    </w:r>
                    <w:r>
                      <w:rPr>
                        <w:lang w:val="es-ES"/>
                      </w:rPr>
                    </w:r>
                    <w:r>
                      <w:rPr>
                        <w:lang w:val="es-ES"/>
                      </w:rPr>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551EB0"/>
    <w:multiLevelType w:val="multilevel"/>
    <w:tmpl w:val="052A9BBC"/>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nsid w:val="2FBE3DB6"/>
    <w:multiLevelType w:val="multilevel"/>
    <w:tmpl w:val="606EC2A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31B11986"/>
    <w:multiLevelType w:val="multilevel"/>
    <w:tmpl w:val="A3403AA0"/>
    <w:lvl w:ilvl="0">
      <w:start w:val="1"/>
      <w:numFmt w:val="bullet"/>
      <w:lvlText w:val=""/>
      <w:lvlJc w:val="left"/>
      <w:pPr>
        <w:ind w:left="1364" w:hanging="360"/>
      </w:pPr>
      <w:rPr>
        <w:rFonts w:ascii="Wingdings" w:hAnsi="Wingdings"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hint="default"/>
      </w:rPr>
    </w:lvl>
    <w:lvl w:ilvl="3">
      <w:start w:val="1"/>
      <w:numFmt w:val="bullet"/>
      <w:lvlText w:val=""/>
      <w:lvlJc w:val="left"/>
      <w:pPr>
        <w:ind w:left="3524" w:hanging="360"/>
      </w:pPr>
      <w:rPr>
        <w:rFonts w:ascii="Symbol" w:hAnsi="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hint="default"/>
      </w:rPr>
    </w:lvl>
    <w:lvl w:ilvl="6">
      <w:start w:val="1"/>
      <w:numFmt w:val="bullet"/>
      <w:lvlText w:val=""/>
      <w:lvlJc w:val="left"/>
      <w:pPr>
        <w:ind w:left="5684" w:hanging="360"/>
      </w:pPr>
      <w:rPr>
        <w:rFonts w:ascii="Symbol" w:hAnsi="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hint="default"/>
      </w:rPr>
    </w:lvl>
  </w:abstractNum>
  <w:abstractNum w:abstractNumId="3">
    <w:nsid w:val="3F137966"/>
    <w:multiLevelType w:val="multilevel"/>
    <w:tmpl w:val="31722F72"/>
    <w:lvl w:ilvl="0">
      <w:start w:val="1"/>
      <w:numFmt w:val="upperLetter"/>
      <w:lvlText w:val="%1)"/>
      <w:lvlJc w:val="left"/>
      <w:pPr>
        <w:ind w:left="1069" w:hanging="360"/>
      </w:pPr>
      <w:rPr>
        <w:rFonts w:hint="default"/>
        <w:i/>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570E767E"/>
    <w:multiLevelType w:val="multilevel"/>
    <w:tmpl w:val="046E3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B5005BC"/>
    <w:multiLevelType w:val="multilevel"/>
    <w:tmpl w:val="37AAD32A"/>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A0F"/>
    <w:rsid w:val="00364EA7"/>
    <w:rsid w:val="00BB1A0F"/>
    <w:rsid w:val="00E91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1"/>
    <w:uiPriority w:val="9"/>
    <w:unhideWhenUsed/>
    <w:qFormat/>
    <w:pPr>
      <w:shd w:val="clear" w:color="auto" w:fill="FFFFFF"/>
      <w:spacing w:after="0" w:line="240" w:lineRule="auto"/>
      <w:outlineLvl w:val="1"/>
    </w:pPr>
    <w:rPr>
      <w:rFonts w:asciiTheme="majorHAnsi" w:eastAsia="Times New Roman" w:hAnsiTheme="majorHAnsi" w:cstheme="majorHAnsi"/>
      <w:b/>
      <w:sz w:val="24"/>
      <w:szCs w:val="24"/>
      <w:lang w:val="es-ES" w:eastAsia="es-EC"/>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
    <w:name w:val="Table Grid Light"/>
    <w:basedOn w:val="TableNormal"/>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leNormal"/>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TableNormal"/>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TableNormal"/>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Normal"/>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Normal"/>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Normal"/>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Normal"/>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Normal"/>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Normal"/>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TableNormal"/>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Normal"/>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Normal"/>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Normal"/>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Normal"/>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Normal"/>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Normal"/>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TableNormal"/>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Normal"/>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Normal"/>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Normal"/>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Normal"/>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Normal"/>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Normal"/>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TableNormal"/>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Normal"/>
    <w:uiPriority w:val="5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Normal"/>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Normal"/>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Normal"/>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Normal"/>
    <w:uiPriority w:val="5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Normal"/>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TableNormal"/>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Normal"/>
    <w:uiPriority w:val="99"/>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Normal"/>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Normal"/>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Normal"/>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Normal"/>
    <w:uiPriority w:val="99"/>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Normal"/>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TableNormal"/>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Normal"/>
    <w:uiPriority w:val="99"/>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Normal"/>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Normal"/>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Normal"/>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Normal"/>
    <w:uiPriority w:val="99"/>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Normal"/>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TableNormal"/>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Normal"/>
    <w:uiPriority w:val="99"/>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Normal"/>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Normal"/>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Normal"/>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Normal"/>
    <w:uiPriority w:val="99"/>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Normal"/>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TableNormal"/>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Normal"/>
    <w:uiPriority w:val="9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Normal"/>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Normal"/>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Normal"/>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Normal"/>
    <w:uiPriority w:val="99"/>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Normal"/>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TableNormal"/>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Normal"/>
    <w:uiPriority w:val="9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Normal"/>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Normal"/>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Normal"/>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Normal"/>
    <w:uiPriority w:val="9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Normal"/>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TableNormal"/>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Normal"/>
    <w:uiPriority w:val="99"/>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Normal"/>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Normal"/>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Normal"/>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Normal"/>
    <w:uiPriority w:val="99"/>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Normal"/>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TableNormal"/>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Normal"/>
    <w:uiPriority w:val="99"/>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Normal"/>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Normal"/>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Normal"/>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Normal"/>
    <w:uiPriority w:val="99"/>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Normal"/>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TableNormal"/>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Normal"/>
    <w:uiPriority w:val="99"/>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Normal"/>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Normal"/>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Normal"/>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Normal"/>
    <w:uiPriority w:val="99"/>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Normal"/>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1"/>
    <w:uiPriority w:val="99"/>
    <w:unhideWhenUsed/>
    <w:pPr>
      <w:tabs>
        <w:tab w:val="center" w:pos="4419"/>
        <w:tab w:val="right" w:pos="8838"/>
      </w:tabs>
      <w:spacing w:after="0" w:line="240" w:lineRule="auto"/>
    </w:pPr>
    <w:rPr>
      <w:lang w:val="es-CO"/>
      <w14:ligatures w14:val="standardContextual"/>
    </w:rPr>
  </w:style>
  <w:style w:type="character" w:customStyle="1" w:styleId="HeaderChar1">
    <w:name w:val="Header Char1"/>
    <w:basedOn w:val="DefaultParagraphFont"/>
    <w:link w:val="Header"/>
    <w:uiPriority w:val="99"/>
  </w:style>
  <w:style w:type="paragraph" w:styleId="Footer">
    <w:name w:val="footer"/>
    <w:basedOn w:val="Normal"/>
    <w:link w:val="FooterChar1"/>
    <w:uiPriority w:val="99"/>
    <w:unhideWhenUsed/>
    <w:pPr>
      <w:tabs>
        <w:tab w:val="center" w:pos="4419"/>
        <w:tab w:val="right" w:pos="8838"/>
      </w:tabs>
      <w:spacing w:after="0" w:line="240" w:lineRule="auto"/>
    </w:pPr>
    <w:rPr>
      <w:lang w:val="es-CO"/>
      <w14:ligatures w14:val="standardContextual"/>
    </w:rPr>
  </w:style>
  <w:style w:type="character" w:customStyle="1" w:styleId="FooterChar1">
    <w:name w:val="Footer Char1"/>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NoSpacing">
    <w:name w:val="No Spacing"/>
    <w:link w:val="NoSpacingChar"/>
    <w:uiPriority w:val="1"/>
    <w:qFormat/>
    <w:pPr>
      <w:spacing w:after="0" w:line="240" w:lineRule="auto"/>
    </w:pPr>
    <w:rPr>
      <w:rFonts w:eastAsiaTheme="minorEastAsia"/>
      <w:lang w:eastAsia="es-CO"/>
      <w14:ligatures w14:val="none"/>
    </w:rPr>
  </w:style>
  <w:style w:type="character" w:customStyle="1" w:styleId="NoSpacingChar">
    <w:name w:val="No Spacing Char"/>
    <w:basedOn w:val="DefaultParagraphFont"/>
    <w:link w:val="NoSpacing"/>
    <w:uiPriority w:val="1"/>
    <w:rPr>
      <w:rFonts w:eastAsiaTheme="minorEastAsia"/>
      <w:lang w:eastAsia="es-CO"/>
      <w14:ligatures w14:val="none"/>
    </w:rPr>
  </w:style>
  <w:style w:type="table" w:styleId="TableGrid">
    <w:name w:val="Table Grid"/>
    <w:basedOn w:val="TableNormal"/>
    <w:uiPriority w:val="39"/>
    <w:pPr>
      <w:spacing w:after="0" w:line="240" w:lineRule="auto"/>
    </w:pPr>
    <w:rPr>
      <w:rFonts w:ascii="Calibri" w:eastAsia="Calibri" w:hAnsi="Calibri" w:cs="Times New Roman"/>
      <w:sz w:val="20"/>
      <w:szCs w:val="20"/>
      <w:lang w:val="es-PE" w:eastAsia="es-PE"/>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CommentText">
    <w:name w:val="annotation text"/>
    <w:basedOn w:val="Normal"/>
    <w:link w:val="CommentTextChar"/>
    <w:uiPriority w:val="99"/>
    <w:semiHidden/>
    <w:unhideWhenUsed/>
    <w:pPr>
      <w:spacing w:line="240" w:lineRule="auto"/>
    </w:pPr>
    <w:rPr>
      <w:sz w:val="20"/>
      <w:szCs w:val="20"/>
      <w:lang w:val="es-EC"/>
      <w14:ligatures w14:val="standardContextual"/>
    </w:rPr>
  </w:style>
  <w:style w:type="character" w:customStyle="1" w:styleId="CommentTextChar">
    <w:name w:val="Comment Text Char"/>
    <w:basedOn w:val="DefaultParagraphFont"/>
    <w:link w:val="CommentText"/>
    <w:uiPriority w:val="99"/>
    <w:semiHidden/>
    <w:rPr>
      <w:sz w:val="20"/>
      <w:szCs w:val="20"/>
      <w:lang w:val="es-EC"/>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es-ES_tradnl"/>
      <w14:ligatures w14:val="none"/>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rPr>
      <w:b/>
      <w:bCs/>
      <w:lang w:val="es-ES_tradnl"/>
      <w14:ligatures w14:val="none"/>
    </w:rPr>
  </w:style>
  <w:style w:type="character" w:customStyle="1" w:styleId="CommentSubjectChar">
    <w:name w:val="Comment Subject Char"/>
    <w:basedOn w:val="CommentTextChar"/>
    <w:link w:val="CommentSubject"/>
    <w:uiPriority w:val="99"/>
    <w:semiHidden/>
    <w:rPr>
      <w:b/>
      <w:bCs/>
      <w:sz w:val="20"/>
      <w:szCs w:val="20"/>
      <w:lang w:val="es-ES_tradnl"/>
      <w14:ligatures w14:val="none"/>
    </w:rPr>
  </w:style>
  <w:style w:type="paragraph" w:styleId="BodyText">
    <w:name w:val="Body Text"/>
    <w:basedOn w:val="Normal"/>
    <w:link w:val="BodyTextChar"/>
    <w:uiPriority w:val="1"/>
    <w:semiHidden/>
    <w:unhideWhenUsed/>
    <w:qFormat/>
    <w:pPr>
      <w:widowControl w:val="0"/>
      <w:spacing w:after="0" w:line="240" w:lineRule="auto"/>
    </w:pPr>
    <w:rPr>
      <w:rFonts w:ascii="Arial" w:eastAsia="Arial" w:hAnsi="Arial" w:cs="Arial"/>
      <w:sz w:val="16"/>
      <w:szCs w:val="16"/>
      <w:lang w:val="en-US"/>
      <w14:ligatures w14:val="standardContextual"/>
    </w:rPr>
  </w:style>
  <w:style w:type="character" w:customStyle="1" w:styleId="BodyTextChar">
    <w:name w:val="Body Text Char"/>
    <w:basedOn w:val="DefaultParagraphFont"/>
    <w:link w:val="BodyText"/>
    <w:uiPriority w:val="1"/>
    <w:semiHidden/>
    <w:rPr>
      <w:rFonts w:ascii="Arial" w:eastAsia="Arial" w:hAnsi="Arial" w:cs="Arial"/>
      <w:sz w:val="16"/>
      <w:szCs w:val="16"/>
      <w:lang w:val="en-US"/>
    </w:rPr>
  </w:style>
  <w:style w:type="table" w:customStyle="1" w:styleId="Tablaconcuadrcula1">
    <w:name w:val="Tabla con cuadrícula1"/>
    <w:basedOn w:val="TableNormal"/>
    <w:uiPriority w:val="39"/>
    <w:pPr>
      <w:spacing w:after="0" w:line="240" w:lineRule="auto"/>
    </w:pPr>
    <w:rPr>
      <w:lang w:val="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normal21">
    <w:name w:val="Tabla normal 21"/>
    <w:basedOn w:val="TableNormal"/>
    <w:uiPriority w:val="42"/>
    <w:pPr>
      <w:spacing w:after="0" w:line="240" w:lineRule="auto"/>
    </w:pPr>
    <w:rPr>
      <w:rFonts w:ascii="Calibri" w:hAnsi="Calibri" w:cs="Times New Roman"/>
      <w:lang w:val="en-US"/>
      <w14:ligatures w14:val="none"/>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51">
    <w:name w:val="Tabla normal 51"/>
    <w:basedOn w:val="TableNormal"/>
    <w:uiPriority w:val="45"/>
    <w:pPr>
      <w:spacing w:after="0" w:line="240" w:lineRule="auto"/>
    </w:pPr>
    <w:rPr>
      <w:rFonts w:ascii="Calibri" w:hAnsi="Calibri" w:cs="Times New Roman"/>
      <w:lang w:val="en-US"/>
      <w14:ligatures w14:val="none"/>
    </w:rPr>
    <w:tblPr>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character" w:customStyle="1" w:styleId="longtext">
    <w:name w:val="long_text"/>
  </w:style>
  <w:style w:type="character" w:customStyle="1" w:styleId="Heading2Char1">
    <w:name w:val="Heading 2 Char1"/>
    <w:basedOn w:val="DefaultParagraphFont"/>
    <w:link w:val="Heading2"/>
    <w:uiPriority w:val="9"/>
    <w:rPr>
      <w:rFonts w:asciiTheme="majorHAnsi" w:eastAsia="Times New Roman" w:hAnsiTheme="majorHAnsi" w:cstheme="majorHAnsi"/>
      <w:b/>
      <w:sz w:val="24"/>
      <w:szCs w:val="24"/>
      <w:shd w:val="clear" w:color="auto" w:fill="FFFFFF"/>
      <w:lang w:val="es-ES" w:eastAsia="es-EC"/>
      <w14:ligatures w14:val="none"/>
    </w:rPr>
  </w:style>
  <w:style w:type="paragraph" w:customStyle="1" w:styleId="TableParagraph">
    <w:name w:val="Table Paragraph"/>
    <w:basedOn w:val="Normal"/>
    <w:uiPriority w:val="1"/>
    <w:qFormat/>
    <w:pPr>
      <w:widowControl w:val="0"/>
      <w:spacing w:before="52" w:after="0" w:line="240" w:lineRule="auto"/>
      <w:jc w:val="right"/>
    </w:pPr>
    <w:rPr>
      <w:rFonts w:ascii="Georgia" w:eastAsia="Georgia" w:hAnsi="Georgia" w:cs="Georgia"/>
      <w:lang w:val="es-ES"/>
    </w:rPr>
  </w:style>
  <w:style w:type="table" w:customStyle="1" w:styleId="TableNormal1">
    <w:name w:val="Table Normal1"/>
    <w:uiPriority w:val="2"/>
    <w:qFormat/>
    <w:pPr>
      <w:spacing w:line="256" w:lineRule="auto"/>
    </w:pPr>
    <w:rPr>
      <w:rFonts w:ascii="Calibri" w:eastAsia="Calibri" w:hAnsi="Calibri" w:cs="Calibri"/>
      <w:sz w:val="20"/>
      <w:szCs w:val="20"/>
      <w:lang w:val="es-ES" w:eastAsia="es-EC"/>
      <w14:ligatures w14:val="none"/>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s-ES_tradnl"/>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1"/>
    <w:uiPriority w:val="9"/>
    <w:unhideWhenUsed/>
    <w:qFormat/>
    <w:pPr>
      <w:shd w:val="clear" w:color="auto" w:fill="FFFFFF"/>
      <w:spacing w:after="0" w:line="240" w:lineRule="auto"/>
      <w:outlineLvl w:val="1"/>
    </w:pPr>
    <w:rPr>
      <w:rFonts w:asciiTheme="majorHAnsi" w:eastAsia="Times New Roman" w:hAnsiTheme="majorHAnsi" w:cstheme="majorHAnsi"/>
      <w:b/>
      <w:sz w:val="24"/>
      <w:szCs w:val="24"/>
      <w:lang w:val="es-ES" w:eastAsia="es-EC"/>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
    <w:name w:val="Table Grid Light"/>
    <w:basedOn w:val="TableNormal"/>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leNormal"/>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TableNormal"/>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TableNormal"/>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Normal"/>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Normal"/>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Normal"/>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Normal"/>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Normal"/>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Normal"/>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TableNormal"/>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Normal"/>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Normal"/>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Normal"/>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Normal"/>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Normal"/>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Normal"/>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TableNormal"/>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Normal"/>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Normal"/>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Normal"/>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Normal"/>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Normal"/>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Normal"/>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TableNormal"/>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Normal"/>
    <w:uiPriority w:val="5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Normal"/>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Normal"/>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Normal"/>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Normal"/>
    <w:uiPriority w:val="5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Normal"/>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Normal"/>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TableNormal"/>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Normal"/>
    <w:uiPriority w:val="99"/>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Normal"/>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Normal"/>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Normal"/>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Normal"/>
    <w:uiPriority w:val="99"/>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Normal"/>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TableNormal"/>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Normal"/>
    <w:uiPriority w:val="99"/>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Normal"/>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Normal"/>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Normal"/>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Normal"/>
    <w:uiPriority w:val="99"/>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Normal"/>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Normal"/>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TableNormal"/>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Normal"/>
    <w:uiPriority w:val="99"/>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Normal"/>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Normal"/>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Normal"/>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Normal"/>
    <w:uiPriority w:val="99"/>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Normal"/>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TableNormal"/>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Normal"/>
    <w:uiPriority w:val="9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Normal"/>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Normal"/>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Normal"/>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Normal"/>
    <w:uiPriority w:val="99"/>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Normal"/>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TableNormal"/>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Normal"/>
    <w:uiPriority w:val="9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Normal"/>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Normal"/>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Normal"/>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Normal"/>
    <w:uiPriority w:val="9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Normal"/>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TableNormal"/>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Normal"/>
    <w:uiPriority w:val="99"/>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Normal"/>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Normal"/>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Normal"/>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Normal"/>
    <w:uiPriority w:val="99"/>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Normal"/>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TableNormal"/>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Normal"/>
    <w:uiPriority w:val="99"/>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Normal"/>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Normal"/>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Normal"/>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Normal"/>
    <w:uiPriority w:val="99"/>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Normal"/>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TableNormal"/>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Normal"/>
    <w:uiPriority w:val="99"/>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Normal"/>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Normal"/>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Normal"/>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Normal"/>
    <w:uiPriority w:val="99"/>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Normal"/>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14:ligatures w14:val="none"/>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14:ligatures w14:val="none"/>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1"/>
    <w:uiPriority w:val="99"/>
    <w:unhideWhenUsed/>
    <w:pPr>
      <w:tabs>
        <w:tab w:val="center" w:pos="4419"/>
        <w:tab w:val="right" w:pos="8838"/>
      </w:tabs>
      <w:spacing w:after="0" w:line="240" w:lineRule="auto"/>
    </w:pPr>
    <w:rPr>
      <w:lang w:val="es-CO"/>
      <w14:ligatures w14:val="standardContextual"/>
    </w:rPr>
  </w:style>
  <w:style w:type="character" w:customStyle="1" w:styleId="HeaderChar1">
    <w:name w:val="Header Char1"/>
    <w:basedOn w:val="DefaultParagraphFont"/>
    <w:link w:val="Header"/>
    <w:uiPriority w:val="99"/>
  </w:style>
  <w:style w:type="paragraph" w:styleId="Footer">
    <w:name w:val="footer"/>
    <w:basedOn w:val="Normal"/>
    <w:link w:val="FooterChar1"/>
    <w:uiPriority w:val="99"/>
    <w:unhideWhenUsed/>
    <w:pPr>
      <w:tabs>
        <w:tab w:val="center" w:pos="4419"/>
        <w:tab w:val="right" w:pos="8838"/>
      </w:tabs>
      <w:spacing w:after="0" w:line="240" w:lineRule="auto"/>
    </w:pPr>
    <w:rPr>
      <w:lang w:val="es-CO"/>
      <w14:ligatures w14:val="standardContextual"/>
    </w:rPr>
  </w:style>
  <w:style w:type="character" w:customStyle="1" w:styleId="FooterChar1">
    <w:name w:val="Footer Char1"/>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paragraph" w:styleId="NoSpacing">
    <w:name w:val="No Spacing"/>
    <w:link w:val="NoSpacingChar"/>
    <w:uiPriority w:val="1"/>
    <w:qFormat/>
    <w:pPr>
      <w:spacing w:after="0" w:line="240" w:lineRule="auto"/>
    </w:pPr>
    <w:rPr>
      <w:rFonts w:eastAsiaTheme="minorEastAsia"/>
      <w:lang w:eastAsia="es-CO"/>
      <w14:ligatures w14:val="none"/>
    </w:rPr>
  </w:style>
  <w:style w:type="character" w:customStyle="1" w:styleId="NoSpacingChar">
    <w:name w:val="No Spacing Char"/>
    <w:basedOn w:val="DefaultParagraphFont"/>
    <w:link w:val="NoSpacing"/>
    <w:uiPriority w:val="1"/>
    <w:rPr>
      <w:rFonts w:eastAsiaTheme="minorEastAsia"/>
      <w:lang w:eastAsia="es-CO"/>
      <w14:ligatures w14:val="none"/>
    </w:rPr>
  </w:style>
  <w:style w:type="table" w:styleId="TableGrid">
    <w:name w:val="Table Grid"/>
    <w:basedOn w:val="TableNormal"/>
    <w:uiPriority w:val="39"/>
    <w:pPr>
      <w:spacing w:after="0" w:line="240" w:lineRule="auto"/>
    </w:pPr>
    <w:rPr>
      <w:rFonts w:ascii="Calibri" w:eastAsia="Calibri" w:hAnsi="Calibri" w:cs="Times New Roman"/>
      <w:sz w:val="20"/>
      <w:szCs w:val="20"/>
      <w:lang w:val="es-PE" w:eastAsia="es-PE"/>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CommentText">
    <w:name w:val="annotation text"/>
    <w:basedOn w:val="Normal"/>
    <w:link w:val="CommentTextChar"/>
    <w:uiPriority w:val="99"/>
    <w:semiHidden/>
    <w:unhideWhenUsed/>
    <w:pPr>
      <w:spacing w:line="240" w:lineRule="auto"/>
    </w:pPr>
    <w:rPr>
      <w:sz w:val="20"/>
      <w:szCs w:val="20"/>
      <w:lang w:val="es-EC"/>
      <w14:ligatures w14:val="standardContextual"/>
    </w:rPr>
  </w:style>
  <w:style w:type="character" w:customStyle="1" w:styleId="CommentTextChar">
    <w:name w:val="Comment Text Char"/>
    <w:basedOn w:val="DefaultParagraphFont"/>
    <w:link w:val="CommentText"/>
    <w:uiPriority w:val="99"/>
    <w:semiHidden/>
    <w:rPr>
      <w:sz w:val="20"/>
      <w:szCs w:val="20"/>
      <w:lang w:val="es-EC"/>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es-ES_tradnl"/>
      <w14:ligatures w14:val="none"/>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rPr>
      <w:b/>
      <w:bCs/>
      <w:lang w:val="es-ES_tradnl"/>
      <w14:ligatures w14:val="none"/>
    </w:rPr>
  </w:style>
  <w:style w:type="character" w:customStyle="1" w:styleId="CommentSubjectChar">
    <w:name w:val="Comment Subject Char"/>
    <w:basedOn w:val="CommentTextChar"/>
    <w:link w:val="CommentSubject"/>
    <w:uiPriority w:val="99"/>
    <w:semiHidden/>
    <w:rPr>
      <w:b/>
      <w:bCs/>
      <w:sz w:val="20"/>
      <w:szCs w:val="20"/>
      <w:lang w:val="es-ES_tradnl"/>
      <w14:ligatures w14:val="none"/>
    </w:rPr>
  </w:style>
  <w:style w:type="paragraph" w:styleId="BodyText">
    <w:name w:val="Body Text"/>
    <w:basedOn w:val="Normal"/>
    <w:link w:val="BodyTextChar"/>
    <w:uiPriority w:val="1"/>
    <w:semiHidden/>
    <w:unhideWhenUsed/>
    <w:qFormat/>
    <w:pPr>
      <w:widowControl w:val="0"/>
      <w:spacing w:after="0" w:line="240" w:lineRule="auto"/>
    </w:pPr>
    <w:rPr>
      <w:rFonts w:ascii="Arial" w:eastAsia="Arial" w:hAnsi="Arial" w:cs="Arial"/>
      <w:sz w:val="16"/>
      <w:szCs w:val="16"/>
      <w:lang w:val="en-US"/>
      <w14:ligatures w14:val="standardContextual"/>
    </w:rPr>
  </w:style>
  <w:style w:type="character" w:customStyle="1" w:styleId="BodyTextChar">
    <w:name w:val="Body Text Char"/>
    <w:basedOn w:val="DefaultParagraphFont"/>
    <w:link w:val="BodyText"/>
    <w:uiPriority w:val="1"/>
    <w:semiHidden/>
    <w:rPr>
      <w:rFonts w:ascii="Arial" w:eastAsia="Arial" w:hAnsi="Arial" w:cs="Arial"/>
      <w:sz w:val="16"/>
      <w:szCs w:val="16"/>
      <w:lang w:val="en-US"/>
    </w:rPr>
  </w:style>
  <w:style w:type="table" w:customStyle="1" w:styleId="Tablaconcuadrcula1">
    <w:name w:val="Tabla con cuadrícula1"/>
    <w:basedOn w:val="TableNormal"/>
    <w:uiPriority w:val="39"/>
    <w:pPr>
      <w:spacing w:after="0" w:line="240" w:lineRule="auto"/>
    </w:pPr>
    <w:rPr>
      <w:lang w:val="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normal21">
    <w:name w:val="Tabla normal 21"/>
    <w:basedOn w:val="TableNormal"/>
    <w:uiPriority w:val="42"/>
    <w:pPr>
      <w:spacing w:after="0" w:line="240" w:lineRule="auto"/>
    </w:pPr>
    <w:rPr>
      <w:rFonts w:ascii="Calibri" w:hAnsi="Calibri" w:cs="Times New Roman"/>
      <w:lang w:val="en-US"/>
      <w14:ligatures w14:val="none"/>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normal51">
    <w:name w:val="Tabla normal 51"/>
    <w:basedOn w:val="TableNormal"/>
    <w:uiPriority w:val="45"/>
    <w:pPr>
      <w:spacing w:after="0" w:line="240" w:lineRule="auto"/>
    </w:pPr>
    <w:rPr>
      <w:rFonts w:ascii="Calibri" w:hAnsi="Calibri" w:cs="Times New Roman"/>
      <w:lang w:val="en-US"/>
      <w14:ligatures w14:val="none"/>
    </w:rPr>
    <w:tblPr>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character" w:customStyle="1" w:styleId="longtext">
    <w:name w:val="long_text"/>
  </w:style>
  <w:style w:type="character" w:customStyle="1" w:styleId="Heading2Char1">
    <w:name w:val="Heading 2 Char1"/>
    <w:basedOn w:val="DefaultParagraphFont"/>
    <w:link w:val="Heading2"/>
    <w:uiPriority w:val="9"/>
    <w:rPr>
      <w:rFonts w:asciiTheme="majorHAnsi" w:eastAsia="Times New Roman" w:hAnsiTheme="majorHAnsi" w:cstheme="majorHAnsi"/>
      <w:b/>
      <w:sz w:val="24"/>
      <w:szCs w:val="24"/>
      <w:shd w:val="clear" w:color="auto" w:fill="FFFFFF"/>
      <w:lang w:val="es-ES" w:eastAsia="es-EC"/>
      <w14:ligatures w14:val="none"/>
    </w:rPr>
  </w:style>
  <w:style w:type="paragraph" w:customStyle="1" w:styleId="TableParagraph">
    <w:name w:val="Table Paragraph"/>
    <w:basedOn w:val="Normal"/>
    <w:uiPriority w:val="1"/>
    <w:qFormat/>
    <w:pPr>
      <w:widowControl w:val="0"/>
      <w:spacing w:before="52" w:after="0" w:line="240" w:lineRule="auto"/>
      <w:jc w:val="right"/>
    </w:pPr>
    <w:rPr>
      <w:rFonts w:ascii="Georgia" w:eastAsia="Georgia" w:hAnsi="Georgia" w:cs="Georgia"/>
      <w:lang w:val="es-ES"/>
    </w:rPr>
  </w:style>
  <w:style w:type="table" w:customStyle="1" w:styleId="TableNormal1">
    <w:name w:val="Table Normal1"/>
    <w:uiPriority w:val="2"/>
    <w:qFormat/>
    <w:pPr>
      <w:spacing w:line="256" w:lineRule="auto"/>
    </w:pPr>
    <w:rPr>
      <w:rFonts w:ascii="Calibri" w:eastAsia="Calibri" w:hAnsi="Calibri" w:cs="Calibri"/>
      <w:sz w:val="20"/>
      <w:szCs w:val="20"/>
      <w:lang w:val="es-ES" w:eastAsia="es-EC"/>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rcid.org/0009-0002-4438-9145" TargetMode="External"/><Relationship Id="rId18" Type="http://schemas.openxmlformats.org/officeDocument/2006/relationships/hyperlink" Target="http://dx.doi.org/10.32749/nucleodoconhecimento.com.br/educacion-es/motivaciones-de-estudiantes" TargetMode="External"/><Relationship Id="rId26" Type="http://schemas.openxmlformats.org/officeDocument/2006/relationships/hyperlink" Target="https://unesdoc.unesco.org/ark:/48223/pf0000379381_spa" TargetMode="External"/><Relationship Id="rId3" Type="http://schemas.openxmlformats.org/officeDocument/2006/relationships/styles" Target="styles.xml"/><Relationship Id="rId21" Type="http://schemas.openxmlformats.org/officeDocument/2006/relationships/hyperlink" Target="https://www.scirp.org/(S(vtj3fa45qm1ean45vvffcz55))/reference/ReferencesPapers.aspx?ReferenceID=1950187" TargetMode="External"/><Relationship Id="rId7" Type="http://schemas.openxmlformats.org/officeDocument/2006/relationships/footnotes" Target="footnotes.xml"/><Relationship Id="rId12" Type="http://schemas.openxmlformats.org/officeDocument/2006/relationships/hyperlink" Target="mailto:rommel.romero.a@uni.edu.pe" TargetMode="External"/><Relationship Id="rId17" Type="http://schemas.openxmlformats.org/officeDocument/2006/relationships/hyperlink" Target="http://dx.doi.org/10.32749/nucleodoconhecimento.com.br/educacion-es/motivaciones-de-estudiantes" TargetMode="External"/><Relationship Id="rId25" Type="http://schemas.openxmlformats.org/officeDocument/2006/relationships/hyperlink" Target="https://www.redalyc.org/pdf/679/67932397003.pdf" TargetMode="External"/><Relationship Id="rId2" Type="http://schemas.openxmlformats.org/officeDocument/2006/relationships/numbering" Target="numbering.xml"/><Relationship Id="rId16" Type="http://schemas.openxmlformats.org/officeDocument/2006/relationships/hyperlink" Target="http://dx.doi.org/10.4067/S0718-22362012000100004" TargetMode="External"/><Relationship Id="rId20" Type="http://schemas.openxmlformats.org/officeDocument/2006/relationships/hyperlink" Target="https://www.scirp.org/(S(vtj3fa45qm1ean45vvffcz55))/reference/ReferencesPapers.aspx?ReferenceID=1950187"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rcid.org/0009-0006-1340-7581" TargetMode="External"/><Relationship Id="rId24" Type="http://schemas.openxmlformats.org/officeDocument/2006/relationships/hyperlink" Target="http://ri.uaemex.mx/bitstream/handle/20.500.11799/111529/Cap%C3%ADtulo-"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scielo.cl/cgi-bin/wxis.exe/iah/?IsisScript=iah/iah.xis&amp;base=article%5Edlibrary&amp;format=iso.pft&amp;lang=e&amp;nextAction=lnk&amp;indexSearch=AU&amp;exprSearch=CORICA%2C%2BAGUSTINA" TargetMode="External"/><Relationship Id="rId23" Type="http://schemas.openxmlformats.org/officeDocument/2006/relationships/hyperlink" Target="https://www.gob.pe/institucion/minedu/colecciones/10097" TargetMode="External"/><Relationship Id="rId28" Type="http://schemas.openxmlformats.org/officeDocument/2006/relationships/hyperlink" Target="http://www.unicef.org/lac/sites/unicef.org.lac/files/2024-01/Carta-abierta-" TargetMode="External"/><Relationship Id="rId10" Type="http://schemas.openxmlformats.org/officeDocument/2006/relationships/hyperlink" Target="mailto:rromero@uni.edu.pe" TargetMode="External"/><Relationship Id="rId19" Type="http://schemas.openxmlformats.org/officeDocument/2006/relationships/hyperlink" Target="https://www.grade.org.pe/en/publicaciones/las-expectativas-educativas-de-los-estudiantes-de-secundaria-de-regiones-amazonicas-un-analisis-de-los-factores-asociados-desde-el-enfoque-de-eficacia-escola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orcid.org/0000-0001-9883-0237" TargetMode="External"/><Relationship Id="rId14" Type="http://schemas.openxmlformats.org/officeDocument/2006/relationships/hyperlink" Target="mailto:rider.romero@unmsm.edu.pe" TargetMode="External"/><Relationship Id="rId22" Type="http://schemas.openxmlformats.org/officeDocument/2006/relationships/hyperlink" Target="https://doi.org/10.59169/pentaciencias.v5i6.861" TargetMode="External"/><Relationship Id="rId27" Type="http://schemas.openxmlformats.org/officeDocument/2006/relationships/hyperlink" Target="http://www.unicef.org/lac/sites/unicef.org.lac/files/2024-01/Carta-abierta-"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www.revistainvecom.org" TargetMode="External"/><Relationship Id="rId1" Type="http://schemas.openxmlformats.org/officeDocument/2006/relationships/hyperlink" Target="http://www.revistainvecom.org" TargetMode="External"/><Relationship Id="rId6" Type="http://schemas.openxmlformats.org/officeDocument/2006/relationships/image" Target="media/image20.png"/><Relationship Id="rId5" Type="http://schemas.openxmlformats.org/officeDocument/2006/relationships/image" Target="media/image2.png"/><Relationship Id="rId4"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F2532-ED76-4B58-9FE0-03D695DD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5498</Words>
  <Characters>31343</Characters>
  <Application>Microsoft Office Word</Application>
  <DocSecurity>0</DocSecurity>
  <Lines>261</Lines>
  <Paragraphs>73</Paragraphs>
  <ScaleCrop>false</ScaleCrop>
  <Company/>
  <LinksUpToDate>false</LinksUpToDate>
  <CharactersWithSpaces>36768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Revista Invecom “Estudios Transdisciplinarios En Comunicación Y Sociedad”                                                  Issn 2739-0063 / Http://Revistainvecom.Org</dc:title>
  <dc:subject/>
  <dc:creator>Santiago A. Ochoa Mojica</dc:creator>
  <cp:keywords/>
  <dc:description/>
  <cp:lastModifiedBy>user</cp:lastModifiedBy>
  <cp:revision>8</cp:revision>
  <dcterms:created xsi:type="dcterms:W3CDTF">2025-01-07T03:42:00Z</dcterms:created>
  <dcterms:modified xsi:type="dcterms:W3CDTF">2025-01-10T18:04:00Z</dcterms:modified>
</cp:coreProperties>
</file>